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ind w:left="-210" w:right="-21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22"/>
        <w:ind w:left="-210" w:right="-21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22"/>
        <w:ind w:left="-210" w:right="-2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b/>
          <w:color w:val="000000"/>
          <w:sz w:val="24"/>
          <w:highlight w:val="none"/>
        </w:rPr>
      </w:r>
      <w:r/>
    </w:p>
    <w:p>
      <w:pPr>
        <w:pStyle w:val="922"/>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22"/>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22"/>
        <w:ind w:left="-210" w:right="-210"/>
        <w:jc w:val="left"/>
        <w:spacing w:line="360" w:lineRule="auto"/>
        <w:rPr>
          <w:rFonts w:ascii="宋体" w:hAnsi="宋体"/>
          <w:b/>
          <w:color w:val="000000"/>
          <w:sz w:val="24"/>
          <w:highlight w:val="non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rPr>
          <w:rFonts w:ascii="宋体" w:hAnsi="宋体"/>
          <w:b/>
          <w:color w:val="000000"/>
          <w:sz w:val="24"/>
          <w:highlight w:val="none"/>
        </w:rPr>
      </w:r>
      <w:r/>
    </w:p>
    <w:p>
      <w:pPr>
        <w:pStyle w:val="922"/>
        <w:ind w:left="-210" w:right="-210"/>
        <w:jc w:val="left"/>
        <w:spacing w:line="360" w:lineRule="auto"/>
        <w:rPr>
          <w:rFonts w:ascii="宋体" w:hAnsi="宋体"/>
          <w:b/>
          <w:color w:val="000000"/>
          <w:sz w:val="24"/>
          <w:highlight w:val="none"/>
        </w:rPr>
      </w:pPr>
      <w:r>
        <w:rPr>
          <w:rFonts w:ascii="宋体" w:hAnsi="宋体"/>
          <w:b/>
          <w:color w:val="000000"/>
          <w:sz w:val="24"/>
          <w:highlight w:val="none"/>
        </w:rPr>
      </w:r>
      <w:r/>
    </w:p>
    <w:p>
      <w:pPr>
        <w:pStyle w:val="922"/>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22"/>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22"/>
        <w:ind w:left="-210" w:right="-210"/>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pStyle w:val="922"/>
        <w:jc w:val="center"/>
        <w:spacing w:line="480" w:lineRule="auto"/>
        <w:rPr>
          <w:rFonts w:ascii="宋体" w:hAnsi="宋体" w:cs="Arial"/>
          <w:b/>
          <w:bCs/>
          <w:color w:val="000000"/>
          <w:sz w:val="52"/>
          <w:szCs w:val="52"/>
          <w:highlight w:val="none"/>
        </w:rPr>
      </w:pPr>
      <w:r>
        <w:rPr>
          <w:rFonts w:hint="eastAsia" w:ascii="宋体" w:hAnsi="宋体" w:cs="Arial"/>
          <w:b/>
          <w:bCs/>
          <w:color w:val="000000"/>
          <w:sz w:val="52"/>
          <w:szCs w:val="52"/>
          <w:highlight w:val="none"/>
        </w:rPr>
        <w:t xml:space="preserve">昆 山 市 政 府 采 购</w:t>
      </w:r>
      <w:r>
        <w:rPr>
          <w:rFonts w:ascii="宋体" w:hAnsi="宋体" w:cs="Arial"/>
          <w:b/>
          <w:bCs/>
          <w:color w:val="000000"/>
          <w:sz w:val="52"/>
          <w:szCs w:val="52"/>
          <w:highlight w:val="none"/>
        </w:rPr>
      </w:r>
      <w:r/>
    </w:p>
    <w:p>
      <w:pPr>
        <w:pStyle w:val="922"/>
        <w:jc w:val="center"/>
        <w:spacing w:line="480" w:lineRule="auto"/>
        <w:rPr>
          <w:rFonts w:ascii="宋体" w:hAnsi="宋体" w:cs="Arial"/>
          <w:b/>
          <w:bCs/>
          <w:color w:val="000000"/>
          <w:sz w:val="52"/>
          <w:szCs w:val="52"/>
          <w:highlight w:val="none"/>
        </w:rPr>
      </w:pPr>
      <w:r>
        <w:rPr>
          <w:rFonts w:hint="eastAsia" w:ascii="宋体" w:hAnsi="宋体" w:cs="Arial"/>
          <w:b/>
          <w:bCs/>
          <w:color w:val="000000"/>
          <w:sz w:val="52"/>
          <w:szCs w:val="52"/>
          <w:highlight w:val="none"/>
        </w:rPr>
        <w:t xml:space="preserve">公 开 招 标 文 件</w:t>
      </w:r>
      <w:r>
        <w:rPr>
          <w:rFonts w:ascii="宋体" w:hAnsi="宋体" w:cs="Arial"/>
          <w:b/>
          <w:bCs/>
          <w:color w:val="000000"/>
          <w:sz w:val="52"/>
          <w:szCs w:val="52"/>
          <w:highlight w:val="none"/>
        </w:rPr>
      </w:r>
      <w:r/>
    </w:p>
    <w:p>
      <w:pPr>
        <w:pStyle w:val="922"/>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22"/>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22"/>
        <w:ind w:left="-210" w:right="-210"/>
        <w:jc w:val="center"/>
        <w:spacing w:line="360" w:lineRule="auto"/>
        <w:rPr>
          <w:rFonts w:ascii="宋体" w:hAnsi="宋体"/>
          <w:color w:val="000000"/>
          <w:sz w:val="24"/>
          <w:highlight w:val="none"/>
        </w:rPr>
      </w:pPr>
      <w:r>
        <w:rPr>
          <w:rFonts w:ascii="宋体" w:hAnsi="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22"/>
              <w:jc w:val="center"/>
              <w:spacing w:line="600" w:lineRule="exact"/>
              <w:rPr>
                <w:rFonts w:ascii="宋体" w:hAnsi="宋体" w:cs="Arial"/>
                <w:color w:val="000000"/>
                <w:sz w:val="32"/>
                <w:szCs w:val="32"/>
                <w:highlight w:val="none"/>
              </w:rPr>
            </w:pPr>
            <w:r>
              <w:rPr>
                <w:rFonts w:hint="eastAsia" w:ascii="宋体" w:hAnsi="宋体" w:cs="Arial"/>
                <w:color w:val="000000"/>
                <w:sz w:val="32"/>
                <w:szCs w:val="32"/>
                <w:highlight w:val="none"/>
              </w:rPr>
              <w:t xml:space="preserve">项目编号：</w:t>
            </w:r>
            <w:r>
              <w:rPr>
                <w:rFonts w:ascii="宋体" w:hAnsi="宋体" w:cs="Arial"/>
                <w:color w:val="000000"/>
                <w:sz w:val="32"/>
                <w:szCs w:val="32"/>
                <w:highlight w:val="none"/>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22"/>
              <w:jc w:val="center"/>
              <w:spacing w:line="600" w:lineRule="exact"/>
              <w:rPr>
                <w:rFonts w:hint="eastAsia" w:ascii="宋体" w:hAnsi="宋体" w:eastAsia="宋体" w:cs="Arial"/>
                <w:color w:val="000000"/>
                <w:sz w:val="32"/>
                <w:szCs w:val="32"/>
                <w:highlight w:val="none"/>
                <w:lang w:eastAsia="zh-CN"/>
              </w:rPr>
            </w:pPr>
            <w:r>
              <w:rPr>
                <w:rFonts w:hint="eastAsia" w:ascii="宋体" w:hAnsi="宋体" w:cs="Arial"/>
                <w:color w:val="000000"/>
                <w:sz w:val="32"/>
                <w:szCs w:val="32"/>
                <w:highlight w:val="none"/>
                <w:lang w:eastAsia="zh-CN"/>
              </w:rPr>
              <w:t xml:space="preserve">JSZC-320583-SZGZ-G2025-0157</w:t>
            </w:r>
            <w:r>
              <w:rPr>
                <w:rFonts w:hint="eastAsia" w:ascii="宋体" w:hAnsi="宋体" w:eastAsia="宋体" w:cs="Arial"/>
                <w:color w:val="000000"/>
                <w:sz w:val="32"/>
                <w:szCs w:val="32"/>
                <w:highlight w:val="none"/>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22"/>
              <w:jc w:val="center"/>
              <w:spacing w:line="600" w:lineRule="exact"/>
              <w:rPr>
                <w:rFonts w:ascii="宋体" w:hAnsi="宋体" w:cs="Arial"/>
                <w:color w:val="000000"/>
                <w:sz w:val="32"/>
                <w:szCs w:val="32"/>
                <w:highlight w:val="none"/>
              </w:rPr>
            </w:pPr>
            <w:r>
              <w:rPr>
                <w:rFonts w:hint="eastAsia" w:ascii="宋体" w:hAnsi="宋体" w:cs="Arial"/>
                <w:color w:val="000000"/>
                <w:sz w:val="32"/>
                <w:szCs w:val="32"/>
                <w:highlight w:val="none"/>
              </w:rPr>
              <w:t xml:space="preserve">采 购 人：</w:t>
            </w:r>
            <w:r>
              <w:rPr>
                <w:rFonts w:ascii="宋体" w:hAnsi="宋体" w:cs="Arial"/>
                <w:color w:val="000000"/>
                <w:sz w:val="32"/>
                <w:szCs w:val="32"/>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22"/>
              <w:jc w:val="center"/>
              <w:spacing w:line="600" w:lineRule="exact"/>
              <w:rPr>
                <w:rFonts w:hint="eastAsia" w:ascii="宋体" w:hAnsi="宋体" w:cs="Arial"/>
                <w:color w:val="000000"/>
                <w:sz w:val="32"/>
                <w:szCs w:val="32"/>
                <w:highlight w:val="none"/>
              </w:rPr>
            </w:pPr>
            <w:r>
              <w:rPr>
                <w:rFonts w:hint="eastAsia" w:ascii="宋体" w:hAnsi="宋体" w:cs="Arial"/>
                <w:color w:val="000000"/>
                <w:sz w:val="32"/>
                <w:szCs w:val="32"/>
                <w:highlight w:val="none"/>
              </w:rPr>
              <w:t xml:space="preserve">昆山高新技术产业开发区管理委员会（昆山市玉山镇人民政府民政科）</w:t>
            </w:r>
            <w:r>
              <w:rPr>
                <w:rFonts w:hint="eastAsia" w:ascii="宋体" w:hAnsi="宋体" w:cs="Arial"/>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22"/>
              <w:jc w:val="center"/>
              <w:spacing w:line="600" w:lineRule="exact"/>
              <w:rPr>
                <w:rFonts w:ascii="宋体" w:hAnsi="宋体" w:cs="Arial"/>
                <w:color w:val="000000"/>
                <w:sz w:val="32"/>
                <w:szCs w:val="32"/>
                <w:highlight w:val="none"/>
              </w:rPr>
            </w:pPr>
            <w:r>
              <w:rPr>
                <w:rFonts w:hint="eastAsia" w:ascii="宋体" w:hAnsi="宋体" w:cs="Arial"/>
                <w:color w:val="000000"/>
                <w:sz w:val="32"/>
                <w:szCs w:val="32"/>
                <w:highlight w:val="none"/>
              </w:rPr>
              <w:t xml:space="preserve">项目名称：</w:t>
            </w:r>
            <w:r>
              <w:rPr>
                <w:rFonts w:ascii="宋体" w:hAnsi="宋体" w:cs="Arial"/>
                <w:color w:val="000000"/>
                <w:sz w:val="32"/>
                <w:szCs w:val="32"/>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22"/>
              <w:jc w:val="center"/>
              <w:spacing w:line="600" w:lineRule="exact"/>
              <w:rPr>
                <w:rFonts w:hint="eastAsia" w:ascii="宋体" w:hAnsi="宋体" w:cs="Arial"/>
                <w:color w:val="000000"/>
                <w:sz w:val="32"/>
                <w:szCs w:val="32"/>
                <w:highlight w:val="none"/>
              </w:rPr>
            </w:pPr>
            <w:r>
              <w:rPr>
                <w:rFonts w:hint="eastAsia" w:ascii="宋体" w:hAnsi="宋体" w:cs="Arial"/>
                <w:color w:val="000000"/>
                <w:sz w:val="32"/>
                <w:szCs w:val="32"/>
                <w:highlight w:val="none"/>
              </w:rPr>
              <w:t xml:space="preserve">昆山高新区社会事业局养老助餐服务项目</w:t>
            </w:r>
            <w:r>
              <w:rPr>
                <w:rFonts w:hint="eastAsia" w:ascii="宋体" w:hAnsi="宋体" w:cs="Arial"/>
                <w:color w:val="000000"/>
                <w:sz w:val="32"/>
                <w:szCs w:val="32"/>
                <w:highlight w:val="none"/>
              </w:rPr>
            </w:r>
            <w:r/>
          </w:p>
        </w:tc>
      </w:tr>
    </w:tbl>
    <w:p>
      <w:pPr>
        <w:pStyle w:val="922"/>
        <w:spacing w:line="600" w:lineRule="exact"/>
        <w:rPr>
          <w:rFonts w:ascii="宋体" w:hAnsi="宋体" w:cs="Arial"/>
          <w:color w:val="000000"/>
          <w:sz w:val="24"/>
          <w:highlight w:val="none"/>
        </w:rPr>
      </w:pPr>
      <w:r>
        <w:rPr>
          <w:rFonts w:ascii="宋体" w:hAnsi="宋体" w:cs="Arial"/>
          <w:color w:val="000000"/>
          <w:sz w:val="24"/>
          <w:highlight w:val="none"/>
        </w:rPr>
      </w:r>
      <w:r/>
    </w:p>
    <w:p>
      <w:pPr>
        <w:pStyle w:val="922"/>
        <w:jc w:val="center"/>
        <w:spacing w:line="360" w:lineRule="auto"/>
        <w:rPr>
          <w:rFonts w:hint="eastAsia" w:cs="宋体"/>
          <w:color w:val="000000"/>
          <w:sz w:val="24"/>
          <w:highlight w:val="none"/>
        </w:rPr>
      </w:pPr>
      <w:r>
        <w:rPr>
          <w:rFonts w:hint="eastAsia" w:cs="宋体"/>
          <w:color w:val="000000"/>
          <w:sz w:val="24"/>
          <w:highlight w:val="none"/>
        </w:rPr>
        <w:t xml:space="preserve"> </w:t>
      </w:r>
      <w:r>
        <w:rPr>
          <w:rFonts w:hint="eastAsia" w:cs="宋体"/>
          <w:color w:val="000000"/>
          <w:sz w:val="24"/>
          <w:highlight w:val="none"/>
        </w:rPr>
      </w:r>
      <w:r/>
    </w:p>
    <w:p>
      <w:pPr>
        <w:pStyle w:val="922"/>
        <w:jc w:val="center"/>
        <w:spacing w:line="360" w:lineRule="auto"/>
        <w:rPr>
          <w:rFonts w:hint="eastAsia" w:cs="宋体"/>
          <w:color w:val="000000"/>
          <w:sz w:val="24"/>
          <w:highlight w:val="none"/>
        </w:rPr>
      </w:pPr>
      <w:r>
        <w:rPr>
          <w:rFonts w:hint="eastAsia" w:cs="宋体"/>
          <w:color w:val="000000"/>
          <w:sz w:val="24"/>
          <w:highlight w:val="none"/>
        </w:rPr>
      </w:r>
      <w:r/>
    </w:p>
    <w:p>
      <w:pPr>
        <w:pStyle w:val="922"/>
        <w:jc w:val="center"/>
        <w:spacing w:line="360" w:lineRule="auto"/>
        <w:rPr>
          <w:rFonts w:ascii="宋体" w:hAnsi="宋体" w:cs="Arial"/>
          <w:color w:val="000000"/>
          <w:sz w:val="30"/>
          <w:szCs w:val="30"/>
          <w:highlight w:val="none"/>
        </w:rPr>
      </w:pPr>
      <w:r>
        <w:rPr>
          <w:rFonts w:hint="eastAsia" w:ascii="宋体" w:hAnsi="宋体" w:cs="Arial"/>
          <w:color w:val="000000"/>
          <w:sz w:val="30"/>
          <w:szCs w:val="30"/>
          <w:highlight w:val="none"/>
        </w:rPr>
        <w:t xml:space="preserve">苏州公正建设咨询房地产评估有限公司</w:t>
      </w:r>
      <w:r>
        <w:rPr>
          <w:rFonts w:ascii="宋体" w:hAnsi="宋体" w:cs="Arial"/>
          <w:color w:val="000000"/>
          <w:sz w:val="30"/>
          <w:szCs w:val="30"/>
          <w:highlight w:val="none"/>
        </w:rPr>
      </w:r>
      <w:r/>
    </w:p>
    <w:p>
      <w:pPr>
        <w:pStyle w:val="922"/>
        <w:jc w:val="center"/>
        <w:spacing w:line="360" w:lineRule="auto"/>
        <w:rPr>
          <w:color w:val="000000"/>
          <w:sz w:val="24"/>
          <w:highlight w:val="none"/>
        </w:rPr>
      </w:pPr>
      <w:r>
        <w:rPr>
          <w:rFonts w:ascii="宋体" w:hAnsi="宋体" w:cs="Arial"/>
          <w:color w:val="000000"/>
          <w:sz w:val="30"/>
          <w:szCs w:val="30"/>
          <w:highlight w:val="none"/>
        </w:rPr>
        <w:t xml:space="preserve">二〇二</w:t>
      </w:r>
      <w:r>
        <w:rPr>
          <w:rFonts w:hint="eastAsia" w:ascii="宋体" w:hAnsi="宋体" w:cs="Arial"/>
          <w:color w:val="000000"/>
          <w:sz w:val="30"/>
          <w:szCs w:val="30"/>
          <w:highlight w:val="none"/>
        </w:rPr>
        <w:t xml:space="preserve">五</w:t>
      </w:r>
      <w:r>
        <w:rPr>
          <w:rFonts w:ascii="宋体" w:hAnsi="宋体" w:cs="Arial"/>
          <w:color w:val="000000"/>
          <w:sz w:val="30"/>
          <w:szCs w:val="30"/>
          <w:highlight w:val="none"/>
        </w:rPr>
        <w:t xml:space="preserve">年</w:t>
      </w:r>
      <w:r>
        <w:rPr>
          <w:rFonts w:ascii="宋体" w:hAnsi="宋体" w:cs="Arial"/>
          <w:color w:val="000000"/>
          <w:sz w:val="24"/>
          <w:highlight w:val="none"/>
        </w:rPr>
        <w:br w:type="page" w:clear="all"/>
      </w:r>
      <w:r>
        <w:rPr>
          <w:color w:val="000000"/>
          <w:sz w:val="24"/>
          <w:highlight w:val="none"/>
        </w:rPr>
        <w:t xml:space="preserve">目录</w:t>
      </w:r>
      <w:r>
        <w:rPr>
          <w:color w:val="000000"/>
          <w:sz w:val="24"/>
          <w:highlight w:val="none"/>
        </w:rPr>
      </w:r>
      <w:r/>
    </w:p>
    <w:p>
      <w:pPr>
        <w:pStyle w:val="977"/>
        <w:tabs>
          <w:tab w:val="right" w:pos="8296" w:leader="dot"/>
        </w:tabs>
        <w:rPr>
          <w:rFonts w:ascii="Calibri" w:hAnsi="Calibri"/>
          <w:b w:val="0"/>
          <w:szCs w:val="22"/>
          <w:highlight w:val="none"/>
        </w:rPr>
      </w:pPr>
      <w:r>
        <w:rPr>
          <w:color w:val="000000"/>
          <w:sz w:val="24"/>
          <w:highlight w:val="none"/>
        </w:rPr>
        <w:fldChar w:fldCharType="begin"/>
      </w:r>
      <w:r>
        <w:rPr>
          <w:color w:val="000000"/>
          <w:sz w:val="24"/>
          <w:highlight w:val="none"/>
        </w:rPr>
        <w:instrText xml:space="preserve"> TOC \o "1-3" \h \z \u </w:instrText>
      </w:r>
      <w:r>
        <w:rPr>
          <w:color w:val="000000"/>
          <w:sz w:val="24"/>
          <w:highlight w:val="none"/>
        </w:rPr>
        <w:fldChar w:fldCharType="separate"/>
      </w:r>
      <w:r>
        <w:rPr>
          <w:rStyle w:val="1008"/>
          <w:highlight w:val="none"/>
        </w:rPr>
        <w:fldChar w:fldCharType="begin"/>
      </w:r>
      <w:r>
        <w:rPr>
          <w:rStyle w:val="1008"/>
          <w:highlight w:val="none"/>
        </w:rPr>
        <w:instrText xml:space="preserve"> </w:instrText>
      </w:r>
      <w:r>
        <w:rPr>
          <w:highlight w:val="none"/>
        </w:rPr>
        <w:instrText xml:space="preserve">HYPERLINK \l "_Toc178063794"</w:instrText>
      </w:r>
      <w:r>
        <w:rPr>
          <w:rStyle w:val="1008"/>
          <w:highlight w:val="none"/>
        </w:rPr>
        <w:instrText xml:space="preserve"> </w:instrText>
      </w:r>
      <w:r>
        <w:rPr>
          <w:rStyle w:val="1008"/>
          <w:highlight w:val="none"/>
        </w:rPr>
        <w:fldChar w:fldCharType="separate"/>
      </w:r>
      <w:r>
        <w:rPr>
          <w:rStyle w:val="1008"/>
          <w:rFonts w:hint="eastAsia"/>
          <w:highlight w:val="none"/>
        </w:rPr>
        <w:t xml:space="preserve">第一章</w:t>
      </w:r>
      <w:r>
        <w:rPr>
          <w:rStyle w:val="1008"/>
          <w:highlight w:val="none"/>
        </w:rPr>
        <w:t xml:space="preserve">  </w:t>
      </w:r>
      <w:r>
        <w:rPr>
          <w:rStyle w:val="1008"/>
          <w:rFonts w:hint="eastAsia"/>
          <w:highlight w:val="none"/>
        </w:rPr>
        <w:t xml:space="preserve">投标邀请函</w:t>
      </w:r>
      <w:r>
        <w:rPr>
          <w:highlight w:val="none"/>
        </w:rPr>
        <w:tab/>
      </w:r>
      <w:r>
        <w:rPr>
          <w:highlight w:val="none"/>
        </w:rPr>
        <w:fldChar w:fldCharType="begin"/>
      </w:r>
      <w:r>
        <w:rPr>
          <w:highlight w:val="none"/>
        </w:rPr>
        <w:instrText xml:space="preserve"> PAGEREF _Toc178063794 \h </w:instrText>
      </w:r>
      <w:r>
        <w:rPr>
          <w:highlight w:val="none"/>
        </w:rPr>
        <w:fldChar w:fldCharType="separate"/>
      </w:r>
      <w:r>
        <w:rPr>
          <w:rFonts w:hint="eastAsia"/>
          <w:highlight w:val="none"/>
        </w:rPr>
        <w:t xml:space="preserve">3</w:t>
      </w:r>
      <w:r>
        <w:rPr>
          <w:highlight w:val="none"/>
        </w:rPr>
        <w:fldChar w:fldCharType="end"/>
      </w:r>
      <w:r>
        <w:rPr>
          <w:rStyle w:val="1008"/>
          <w:highlight w:val="none"/>
        </w:rPr>
        <w:fldChar w:fldCharType="end"/>
      </w:r>
      <w:r>
        <w:rPr>
          <w:rFonts w:ascii="Calibri" w:hAnsi="Calibri"/>
          <w:b w:val="0"/>
          <w:szCs w:val="22"/>
          <w:highlight w:val="none"/>
        </w:rPr>
      </w:r>
      <w:r/>
    </w:p>
    <w:p>
      <w:pPr>
        <w:pStyle w:val="977"/>
        <w:tabs>
          <w:tab w:val="right" w:pos="8296" w:leader="dot"/>
        </w:tabs>
        <w:rPr>
          <w:rFonts w:ascii="Calibri" w:hAnsi="Calibri"/>
          <w:b w:val="0"/>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"_Toc178063795"</w:instrText>
      </w:r>
      <w:r>
        <w:rPr>
          <w:rStyle w:val="1008"/>
          <w:highlight w:val="none"/>
        </w:rPr>
        <w:instrText xml:space="preserve"> </w:instrText>
      </w:r>
      <w:r>
        <w:rPr>
          <w:rStyle w:val="1008"/>
          <w:highlight w:val="none"/>
        </w:rPr>
        <w:fldChar w:fldCharType="separate"/>
      </w:r>
      <w:r>
        <w:rPr>
          <w:rStyle w:val="1008"/>
          <w:rFonts w:hint="eastAsia"/>
          <w:highlight w:val="none"/>
        </w:rPr>
        <w:t xml:space="preserve">第二章</w:t>
      </w:r>
      <w:r>
        <w:rPr>
          <w:rStyle w:val="1008"/>
          <w:highlight w:val="none"/>
        </w:rPr>
        <w:t xml:space="preserve">  </w:t>
      </w:r>
      <w:r>
        <w:rPr>
          <w:rStyle w:val="1008"/>
          <w:rFonts w:hint="eastAsia"/>
          <w:highlight w:val="none"/>
        </w:rPr>
        <w:t xml:space="preserve">投标人须知</w:t>
      </w:r>
      <w:r>
        <w:rPr>
          <w:highlight w:val="none"/>
        </w:rPr>
        <w:tab/>
      </w:r>
      <w:r>
        <w:rPr>
          <w:highlight w:val="none"/>
        </w:rPr>
        <w:fldChar w:fldCharType="begin"/>
      </w:r>
      <w:r>
        <w:rPr>
          <w:highlight w:val="none"/>
        </w:rPr>
        <w:instrText xml:space="preserve"> PAGEREF _Toc178063795 \h </w:instrText>
      </w:r>
      <w:r>
        <w:rPr>
          <w:highlight w:val="none"/>
        </w:rPr>
        <w:fldChar w:fldCharType="separate"/>
      </w:r>
      <w:r>
        <w:rPr>
          <w:rFonts w:hint="eastAsia"/>
          <w:highlight w:val="none"/>
        </w:rPr>
        <w:t xml:space="preserve">6</w:t>
      </w:r>
      <w:r>
        <w:rPr>
          <w:highlight w:val="none"/>
        </w:rPr>
        <w:fldChar w:fldCharType="end"/>
      </w:r>
      <w:r>
        <w:rPr>
          <w:rStyle w:val="1008"/>
          <w:highlight w:val="none"/>
        </w:rPr>
        <w:fldChar w:fldCharType="end"/>
      </w:r>
      <w:r>
        <w:rPr>
          <w:rFonts w:ascii="Calibri" w:hAnsi="Calibri"/>
          <w:b w:val="0"/>
          <w:szCs w:val="22"/>
          <w:highlight w:val="none"/>
        </w:rPr>
      </w:r>
      <w:r/>
    </w:p>
    <w:p>
      <w:pPr>
        <w:pStyle w:val="977"/>
        <w:tabs>
          <w:tab w:val="right" w:pos="8296" w:leader="dot"/>
        </w:tabs>
        <w:rPr>
          <w:rFonts w:ascii="Calibri" w:hAnsi="Calibri"/>
          <w:b w:val="0"/>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"_Toc178063796"</w:instrText>
      </w:r>
      <w:r>
        <w:rPr>
          <w:rStyle w:val="1008"/>
          <w:highlight w:val="none"/>
        </w:rPr>
        <w:instrText xml:space="preserve"> </w:instrText>
      </w:r>
      <w:r>
        <w:rPr>
          <w:rStyle w:val="1008"/>
          <w:highlight w:val="none"/>
        </w:rPr>
        <w:fldChar w:fldCharType="separate"/>
      </w:r>
      <w:r>
        <w:rPr>
          <w:rStyle w:val="1008"/>
          <w:rFonts w:hint="eastAsia"/>
          <w:highlight w:val="none"/>
        </w:rPr>
        <w:t xml:space="preserve">第三章</w:t>
      </w:r>
      <w:r>
        <w:rPr>
          <w:rStyle w:val="1008"/>
          <w:highlight w:val="none"/>
        </w:rPr>
        <w:t xml:space="preserve">  </w:t>
      </w:r>
      <w:r>
        <w:rPr>
          <w:rStyle w:val="1008"/>
          <w:rFonts w:hint="eastAsia"/>
          <w:highlight w:val="none"/>
        </w:rPr>
        <w:t xml:space="preserve">投标文件格式</w:t>
      </w:r>
      <w:r>
        <w:rPr>
          <w:highlight w:val="none"/>
        </w:rPr>
        <w:tab/>
      </w:r>
      <w:r>
        <w:rPr>
          <w:highlight w:val="none"/>
        </w:rPr>
        <w:fldChar w:fldCharType="begin"/>
      </w:r>
      <w:r>
        <w:rPr>
          <w:highlight w:val="none"/>
        </w:rPr>
        <w:instrText xml:space="preserve"> PAGEREF _Toc178063796 \h </w:instrText>
      </w:r>
      <w:r>
        <w:rPr>
          <w:highlight w:val="none"/>
        </w:rPr>
        <w:fldChar w:fldCharType="separate"/>
      </w:r>
      <w:r>
        <w:rPr>
          <w:rFonts w:hint="eastAsia"/>
          <w:highlight w:val="none"/>
        </w:rPr>
        <w:t xml:space="preserve">16</w:t>
      </w:r>
      <w:r>
        <w:rPr>
          <w:highlight w:val="none"/>
        </w:rPr>
        <w:fldChar w:fldCharType="end"/>
      </w:r>
      <w:r>
        <w:rPr>
          <w:rStyle w:val="1008"/>
          <w:highlight w:val="none"/>
        </w:rPr>
        <w:fldChar w:fldCharType="end"/>
      </w:r>
      <w:r>
        <w:rPr>
          <w:rFonts w:ascii="Calibri" w:hAnsi="Calibri"/>
          <w:b w:val="0"/>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"_Toc178063797"</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投标文件的声明函</w:t>
      </w:r>
      <w:r>
        <w:rPr>
          <w:highlight w:val="none"/>
        </w:rPr>
        <w:tab/>
      </w:r>
      <w:r>
        <w:rPr>
          <w:highlight w:val="none"/>
        </w:rPr>
        <w:fldChar w:fldCharType="begin"/>
      </w:r>
      <w:r>
        <w:rPr>
          <w:highlight w:val="none"/>
        </w:rPr>
        <w:instrText xml:space="preserve"> PAGEREF _Toc178063797 \h </w:instrText>
      </w:r>
      <w:r>
        <w:rPr>
          <w:highlight w:val="none"/>
        </w:rPr>
        <w:fldChar w:fldCharType="separate"/>
      </w:r>
      <w:r>
        <w:rPr>
          <w:highlight w:val="none"/>
        </w:rPr>
        <w:t xml:space="preserve">16</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"_Toc178063798"</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投标承诺函</w:t>
      </w:r>
      <w:r>
        <w:rPr>
          <w:highlight w:val="none"/>
        </w:rPr>
        <w:tab/>
      </w:r>
      <w:r>
        <w:rPr>
          <w:highlight w:val="none"/>
        </w:rPr>
        <w:fldChar w:fldCharType="begin"/>
      </w:r>
      <w:r>
        <w:rPr>
          <w:highlight w:val="none"/>
        </w:rPr>
        <w:instrText xml:space="preserve"> PAGEREF _Toc178063798 \h </w:instrText>
      </w:r>
      <w:r>
        <w:rPr>
          <w:highlight w:val="none"/>
        </w:rPr>
        <w:fldChar w:fldCharType="separate"/>
      </w:r>
      <w:r>
        <w:rPr>
          <w:highlight w:val="none"/>
        </w:rPr>
        <w:t xml:space="preserve">17</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"_Toc178063799"</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无重大违法记录声明</w:t>
      </w:r>
      <w:r>
        <w:rPr>
          <w:highlight w:val="none"/>
        </w:rPr>
        <w:tab/>
      </w:r>
      <w:r>
        <w:rPr>
          <w:highlight w:val="none"/>
        </w:rPr>
        <w:fldChar w:fldCharType="begin"/>
      </w:r>
      <w:r>
        <w:rPr>
          <w:highlight w:val="none"/>
        </w:rPr>
        <w:instrText xml:space="preserve"> PAGEREF _Toc178063799 \h </w:instrText>
      </w:r>
      <w:r>
        <w:rPr>
          <w:highlight w:val="none"/>
        </w:rPr>
        <w:fldChar w:fldCharType="separate"/>
      </w:r>
      <w:r>
        <w:rPr>
          <w:highlight w:val="none"/>
        </w:rPr>
        <w:t xml:space="preserve">18</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"_Toc178063800"</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法定代表人授权委托书</w:t>
      </w:r>
      <w:r>
        <w:rPr>
          <w:highlight w:val="none"/>
        </w:rPr>
        <w:tab/>
      </w:r>
      <w:r>
        <w:rPr>
          <w:highlight w:val="none"/>
        </w:rPr>
        <w:fldChar w:fldCharType="begin"/>
      </w:r>
      <w:r>
        <w:rPr>
          <w:highlight w:val="none"/>
        </w:rPr>
        <w:instrText xml:space="preserve"> PAGEREF _Toc178063800 \h </w:instrText>
      </w:r>
      <w:r>
        <w:rPr>
          <w:highlight w:val="none"/>
        </w:rPr>
        <w:fldChar w:fldCharType="separate"/>
      </w:r>
      <w:r>
        <w:rPr>
          <w:highlight w:val="none"/>
        </w:rPr>
        <w:t xml:space="preserve">18</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"_Toc178063801"</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投标函</w:t>
      </w:r>
      <w:r>
        <w:rPr>
          <w:highlight w:val="none"/>
        </w:rPr>
        <w:tab/>
      </w:r>
      <w:r>
        <w:rPr>
          <w:highlight w:val="none"/>
        </w:rPr>
        <w:fldChar w:fldCharType="begin"/>
      </w:r>
      <w:r>
        <w:rPr>
          <w:highlight w:val="none"/>
        </w:rPr>
        <w:instrText xml:space="preserve"> PAGEREF _Toc178063801 \h </w:instrText>
      </w:r>
      <w:r>
        <w:rPr>
          <w:highlight w:val="none"/>
        </w:rPr>
        <w:fldChar w:fldCharType="separate"/>
      </w:r>
      <w:r>
        <w:rPr>
          <w:highlight w:val="none"/>
        </w:rPr>
        <w:t xml:space="preserve">19</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"_Toc178063802"</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开标一览表</w:t>
      </w:r>
      <w:r>
        <w:rPr>
          <w:highlight w:val="none"/>
        </w:rPr>
        <w:tab/>
      </w:r>
      <w:r>
        <w:rPr>
          <w:highlight w:val="none"/>
        </w:rPr>
        <w:fldChar w:fldCharType="begin"/>
      </w:r>
      <w:r>
        <w:rPr>
          <w:highlight w:val="none"/>
        </w:rPr>
        <w:instrText xml:space="preserve"> PAGEREF _Toc178063802 \h </w:instrText>
      </w:r>
      <w:r>
        <w:rPr>
          <w:highlight w:val="none"/>
        </w:rPr>
        <w:fldChar w:fldCharType="separate"/>
      </w:r>
      <w:r>
        <w:rPr>
          <w:highlight w:val="none"/>
        </w:rPr>
        <w:t xml:space="preserve">20</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"_Toc178063803"</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投标报价分析表</w:t>
      </w:r>
      <w:r>
        <w:rPr>
          <w:highlight w:val="none"/>
        </w:rPr>
        <w:tab/>
      </w:r>
      <w:r>
        <w:rPr>
          <w:highlight w:val="none"/>
        </w:rPr>
        <w:fldChar w:fldCharType="begin"/>
      </w:r>
      <w:r>
        <w:rPr>
          <w:highlight w:val="none"/>
        </w:rPr>
        <w:instrText xml:space="preserve"> PAGEREF _Toc178063803 \h </w:instrText>
      </w:r>
      <w:r>
        <w:rPr>
          <w:highlight w:val="none"/>
        </w:rPr>
        <w:fldChar w:fldCharType="separate"/>
      </w:r>
      <w:r>
        <w:rPr>
          <w:highlight w:val="none"/>
        </w:rPr>
        <w:t xml:space="preserve">21</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"_Toc178063804"</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中小企业声明函</w:t>
      </w:r>
      <w:r>
        <w:rPr>
          <w:highlight w:val="none"/>
        </w:rPr>
        <w:tab/>
      </w:r>
      <w:r>
        <w:rPr>
          <w:highlight w:val="none"/>
        </w:rPr>
        <w:fldChar w:fldCharType="begin"/>
      </w:r>
      <w:r>
        <w:rPr>
          <w:highlight w:val="none"/>
        </w:rPr>
        <w:instrText xml:space="preserve"> PAGEREF _Toc178063804 \h </w:instrText>
      </w:r>
      <w:r>
        <w:rPr>
          <w:highlight w:val="none"/>
        </w:rPr>
        <w:fldChar w:fldCharType="separate"/>
      </w:r>
      <w:r>
        <w:rPr>
          <w:highlight w:val="none"/>
        </w:rPr>
        <w:t xml:space="preserve">22</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"_Toc178063805"</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偏离表（商务）：</w:t>
      </w:r>
      <w:r>
        <w:rPr>
          <w:highlight w:val="none"/>
        </w:rPr>
        <w:tab/>
      </w:r>
      <w:r>
        <w:rPr>
          <w:highlight w:val="none"/>
        </w:rPr>
        <w:fldChar w:fldCharType="begin"/>
      </w:r>
      <w:r>
        <w:rPr>
          <w:highlight w:val="none"/>
        </w:rPr>
        <w:instrText xml:space="preserve"> PAGEREF _Toc178063805 \h </w:instrText>
      </w:r>
      <w:r>
        <w:rPr>
          <w:highlight w:val="none"/>
        </w:rPr>
        <w:fldChar w:fldCharType="separate"/>
      </w:r>
      <w:r>
        <w:rPr>
          <w:highlight w:val="none"/>
        </w:rPr>
        <w:t xml:space="preserve">24</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"_Toc178063806"</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偏离表（技术）：</w:t>
      </w:r>
      <w:r>
        <w:rPr>
          <w:highlight w:val="none"/>
        </w:rPr>
        <w:tab/>
      </w:r>
      <w:r>
        <w:rPr>
          <w:highlight w:val="none"/>
        </w:rPr>
        <w:fldChar w:fldCharType="begin"/>
      </w:r>
      <w:r>
        <w:rPr>
          <w:highlight w:val="none"/>
        </w:rPr>
        <w:instrText xml:space="preserve"> PAGEREF _Toc178063806 \h </w:instrText>
      </w:r>
      <w:r>
        <w:rPr>
          <w:highlight w:val="none"/>
        </w:rPr>
        <w:fldChar w:fldCharType="separate"/>
      </w:r>
      <w:r>
        <w:rPr>
          <w:highlight w:val="none"/>
        </w:rPr>
        <w:t xml:space="preserve">24</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"_Toc178063807"</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远程参与开标会议诚信承诺书</w:t>
      </w:r>
      <w:r>
        <w:rPr>
          <w:highlight w:val="none"/>
        </w:rPr>
        <w:tab/>
      </w:r>
      <w:r>
        <w:rPr>
          <w:highlight w:val="none"/>
        </w:rPr>
        <w:fldChar w:fldCharType="begin"/>
      </w:r>
      <w:r>
        <w:rPr>
          <w:highlight w:val="none"/>
        </w:rPr>
        <w:instrText xml:space="preserve"> PAGEREF _Toc178063807 \h </w:instrText>
      </w:r>
      <w:r>
        <w:rPr>
          <w:highlight w:val="none"/>
        </w:rPr>
        <w:fldChar w:fldCharType="separate"/>
      </w:r>
      <w:r>
        <w:rPr>
          <w:highlight w:val="none"/>
        </w:rPr>
        <w:t xml:space="preserve">25</w:t>
      </w:r>
      <w:r>
        <w:rPr>
          <w:highlight w:val="none"/>
        </w:rPr>
        <w:fldChar w:fldCharType="end"/>
      </w:r>
      <w:r>
        <w:rPr>
          <w:rStyle w:val="1008"/>
          <w:highlight w:val="none"/>
        </w:rPr>
        <w:fldChar w:fldCharType="end"/>
      </w:r>
      <w:r>
        <w:rPr>
          <w:rFonts w:ascii="Calibri" w:hAnsi="Calibri"/>
          <w:szCs w:val="22"/>
          <w:highlight w:val="none"/>
        </w:rPr>
      </w:r>
      <w:r/>
    </w:p>
    <w:p>
      <w:pPr>
        <w:pStyle w:val="987"/>
        <w:tabs>
          <w:tab w:val="right" w:pos="9061" w:leader="dot"/>
        </w:tabs>
        <w:rPr>
          <w:rFonts w:ascii="Calibri" w:hAnsi="Calibri"/>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"_Toc178063808"</w:instrText>
      </w:r>
      <w:r>
        <w:rPr>
          <w:rStyle w:val="1008"/>
          <w:highlight w:val="none"/>
        </w:rPr>
        <w:instrText xml:space="preserve"> </w:instrText>
      </w:r>
      <w:r>
        <w:rPr>
          <w:rStyle w:val="1008"/>
          <w:highlight w:val="none"/>
        </w:rPr>
        <w:fldChar w:fldCharType="separate"/>
      </w:r>
      <w:r>
        <w:rPr>
          <w:rStyle w:val="1008"/>
          <w:rFonts w:hint="eastAsia" w:ascii="宋体" w:hAnsi="宋体"/>
          <w:highlight w:val="none"/>
        </w:rPr>
        <w:t xml:space="preserve">投标单位情况表</w:t>
      </w:r>
      <w:r>
        <w:rPr>
          <w:highlight w:val="none"/>
        </w:rPr>
        <w:tab/>
      </w:r>
      <w:r>
        <w:rPr>
          <w:highlight w:val="none"/>
        </w:rPr>
        <w:fldChar w:fldCharType="begin"/>
      </w:r>
      <w:r>
        <w:rPr>
          <w:highlight w:val="none"/>
        </w:rPr>
        <w:instrText xml:space="preserve"> PAGEREF _Toc178063808 \h </w:instrText>
      </w:r>
      <w:r>
        <w:rPr>
          <w:highlight w:val="none"/>
        </w:rPr>
        <w:fldChar w:fldCharType="separate"/>
      </w:r>
      <w:r>
        <w:rPr>
          <w:highlight w:val="none"/>
        </w:rPr>
        <w:t xml:space="preserve">26</w:t>
      </w:r>
      <w:r>
        <w:rPr>
          <w:highlight w:val="none"/>
        </w:rPr>
        <w:fldChar w:fldCharType="end"/>
      </w:r>
      <w:r>
        <w:rPr>
          <w:rStyle w:val="1008"/>
          <w:highlight w:val="none"/>
        </w:rPr>
        <w:fldChar w:fldCharType="end"/>
      </w:r>
      <w:r>
        <w:rPr>
          <w:rFonts w:ascii="Calibri" w:hAnsi="Calibri"/>
          <w:szCs w:val="22"/>
          <w:highlight w:val="none"/>
        </w:rPr>
      </w:r>
      <w:r/>
    </w:p>
    <w:p>
      <w:pPr>
        <w:pStyle w:val="977"/>
        <w:tabs>
          <w:tab w:val="right" w:pos="8296" w:leader="dot"/>
        </w:tabs>
        <w:rPr>
          <w:rFonts w:ascii="Calibri" w:hAnsi="Calibri"/>
          <w:b w:val="0"/>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"_Toc178063809"</w:instrText>
      </w:r>
      <w:r>
        <w:rPr>
          <w:rStyle w:val="1008"/>
          <w:highlight w:val="none"/>
        </w:rPr>
        <w:instrText xml:space="preserve"> </w:instrText>
      </w:r>
      <w:r>
        <w:rPr>
          <w:rStyle w:val="1008"/>
          <w:highlight w:val="none"/>
        </w:rPr>
        <w:fldChar w:fldCharType="separate"/>
      </w:r>
      <w:r>
        <w:rPr>
          <w:rStyle w:val="1008"/>
          <w:rFonts w:hint="eastAsia"/>
          <w:highlight w:val="none"/>
        </w:rPr>
        <w:t xml:space="preserve">第四章</w:t>
      </w:r>
      <w:r>
        <w:rPr>
          <w:rStyle w:val="1008"/>
          <w:highlight w:val="none"/>
        </w:rPr>
        <w:t xml:space="preserve">  </w:t>
      </w:r>
      <w:r>
        <w:rPr>
          <w:rStyle w:val="1008"/>
          <w:rFonts w:hint="eastAsia"/>
          <w:highlight w:val="none"/>
        </w:rPr>
        <w:t xml:space="preserve">招标书</w:t>
      </w:r>
      <w:r>
        <w:rPr>
          <w:highlight w:val="none"/>
        </w:rPr>
        <w:tab/>
      </w:r>
      <w:r>
        <w:rPr>
          <w:highlight w:val="none"/>
        </w:rPr>
        <w:fldChar w:fldCharType="begin"/>
      </w:r>
      <w:r>
        <w:rPr>
          <w:highlight w:val="none"/>
        </w:rPr>
        <w:instrText xml:space="preserve"> PAGEREF _Toc178063809 \h </w:instrText>
      </w:r>
      <w:r>
        <w:rPr>
          <w:highlight w:val="none"/>
        </w:rPr>
        <w:fldChar w:fldCharType="separate"/>
      </w:r>
      <w:r>
        <w:rPr>
          <w:rFonts w:hint="eastAsia"/>
          <w:highlight w:val="none"/>
        </w:rPr>
        <w:t xml:space="preserve">27</w:t>
      </w:r>
      <w:r>
        <w:rPr>
          <w:highlight w:val="none"/>
        </w:rPr>
        <w:fldChar w:fldCharType="end"/>
      </w:r>
      <w:r>
        <w:rPr>
          <w:rStyle w:val="1008"/>
          <w:highlight w:val="none"/>
        </w:rPr>
        <w:fldChar w:fldCharType="end"/>
      </w:r>
      <w:r>
        <w:rPr>
          <w:rFonts w:ascii="Calibri" w:hAnsi="Calibri"/>
          <w:b w:val="0"/>
          <w:szCs w:val="22"/>
          <w:highlight w:val="none"/>
        </w:rPr>
      </w:r>
      <w:r/>
    </w:p>
    <w:p>
      <w:pPr>
        <w:pStyle w:val="977"/>
        <w:tabs>
          <w:tab w:val="right" w:pos="8296" w:leader="dot"/>
        </w:tabs>
        <w:rPr>
          <w:rFonts w:ascii="Calibri" w:hAnsi="Calibri"/>
          <w:b w:val="0"/>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"_Toc178063810"</w:instrText>
      </w:r>
      <w:r>
        <w:rPr>
          <w:rStyle w:val="1008"/>
          <w:highlight w:val="none"/>
        </w:rPr>
        <w:instrText xml:space="preserve"> </w:instrText>
      </w:r>
      <w:r>
        <w:rPr>
          <w:rStyle w:val="1008"/>
          <w:highlight w:val="none"/>
        </w:rPr>
        <w:fldChar w:fldCharType="separate"/>
      </w:r>
      <w:r>
        <w:rPr>
          <w:rStyle w:val="1008"/>
          <w:rFonts w:hint="eastAsia"/>
          <w:highlight w:val="none"/>
        </w:rPr>
        <w:t xml:space="preserve">第五章</w:t>
      </w:r>
      <w:r>
        <w:rPr>
          <w:rStyle w:val="1008"/>
          <w:highlight w:val="none"/>
        </w:rPr>
        <w:t xml:space="preserve"> </w:t>
      </w:r>
      <w:r>
        <w:rPr>
          <w:rStyle w:val="1008"/>
          <w:rFonts w:hint="eastAsia"/>
          <w:highlight w:val="none"/>
        </w:rPr>
        <w:t xml:space="preserve">合同主要内容</w:t>
      </w:r>
      <w:r>
        <w:rPr>
          <w:highlight w:val="none"/>
        </w:rPr>
        <w:tab/>
      </w:r>
      <w:r>
        <w:rPr>
          <w:highlight w:val="none"/>
        </w:rPr>
        <w:fldChar w:fldCharType="begin"/>
      </w:r>
      <w:r>
        <w:rPr>
          <w:highlight w:val="none"/>
        </w:rPr>
        <w:instrText xml:space="preserve"> PAGEREF _Toc178063810 \h </w:instrText>
      </w:r>
      <w:r>
        <w:rPr>
          <w:highlight w:val="none"/>
        </w:rPr>
        <w:fldChar w:fldCharType="separate"/>
      </w:r>
      <w:r>
        <w:rPr>
          <w:rFonts w:hint="eastAsia"/>
          <w:highlight w:val="none"/>
        </w:rPr>
        <w:t xml:space="preserve">30</w:t>
      </w:r>
      <w:r>
        <w:rPr>
          <w:highlight w:val="none"/>
        </w:rPr>
        <w:fldChar w:fldCharType="end"/>
      </w:r>
      <w:r>
        <w:rPr>
          <w:rStyle w:val="1008"/>
          <w:highlight w:val="none"/>
        </w:rPr>
        <w:fldChar w:fldCharType="end"/>
      </w:r>
      <w:r>
        <w:rPr>
          <w:rFonts w:ascii="Calibri" w:hAnsi="Calibri"/>
          <w:b w:val="0"/>
          <w:szCs w:val="22"/>
          <w:highlight w:val="none"/>
        </w:rPr>
      </w:r>
      <w:r/>
    </w:p>
    <w:p>
      <w:pPr>
        <w:pStyle w:val="977"/>
        <w:tabs>
          <w:tab w:val="right" w:pos="8296" w:leader="dot"/>
        </w:tabs>
        <w:rPr>
          <w:rFonts w:ascii="Calibri" w:hAnsi="Calibri"/>
          <w:b w:val="0"/>
          <w:szCs w:val="22"/>
          <w:highlight w:val="none"/>
        </w:rPr>
      </w:pPr>
      <w:r>
        <w:rPr>
          <w:rStyle w:val="1008"/>
          <w:highlight w:val="none"/>
        </w:rPr>
        <w:fldChar w:fldCharType="begin"/>
      </w:r>
      <w:r>
        <w:rPr>
          <w:rStyle w:val="1008"/>
          <w:highlight w:val="none"/>
        </w:rPr>
        <w:instrText xml:space="preserve"> </w:instrText>
      </w:r>
      <w:r>
        <w:rPr>
          <w:highlight w:val="none"/>
        </w:rPr>
        <w:instrText xml:space="preserve">HYPERLINK \l "_Toc178063811"</w:instrText>
      </w:r>
      <w:r>
        <w:rPr>
          <w:rStyle w:val="1008"/>
          <w:highlight w:val="none"/>
        </w:rPr>
        <w:instrText xml:space="preserve"> </w:instrText>
      </w:r>
      <w:r>
        <w:rPr>
          <w:rStyle w:val="1008"/>
          <w:highlight w:val="none"/>
        </w:rPr>
        <w:fldChar w:fldCharType="separate"/>
      </w:r>
      <w:r>
        <w:rPr>
          <w:rStyle w:val="1008"/>
          <w:rFonts w:hint="eastAsia"/>
          <w:highlight w:val="none"/>
        </w:rPr>
        <w:t xml:space="preserve">第六章</w:t>
      </w:r>
      <w:r>
        <w:rPr>
          <w:rStyle w:val="1008"/>
          <w:highlight w:val="none"/>
        </w:rPr>
        <w:t xml:space="preserve">  </w:t>
      </w:r>
      <w:r>
        <w:rPr>
          <w:rStyle w:val="1008"/>
          <w:rFonts w:hint="eastAsia"/>
          <w:highlight w:val="none"/>
        </w:rPr>
        <w:t xml:space="preserve">评标方法、采购政策、评分标准</w:t>
      </w:r>
      <w:r>
        <w:rPr>
          <w:highlight w:val="none"/>
        </w:rPr>
        <w:tab/>
      </w:r>
      <w:r>
        <w:rPr>
          <w:highlight w:val="none"/>
        </w:rPr>
        <w:fldChar w:fldCharType="begin"/>
      </w:r>
      <w:r>
        <w:rPr>
          <w:highlight w:val="none"/>
        </w:rPr>
        <w:instrText xml:space="preserve"> PAGEREF _Toc178063811 \h </w:instrText>
      </w:r>
      <w:r>
        <w:rPr>
          <w:highlight w:val="none"/>
        </w:rPr>
        <w:fldChar w:fldCharType="separate"/>
      </w:r>
      <w:r>
        <w:rPr>
          <w:rFonts w:hint="eastAsia"/>
          <w:highlight w:val="none"/>
        </w:rPr>
        <w:t xml:space="preserve">39</w:t>
      </w:r>
      <w:r>
        <w:rPr>
          <w:highlight w:val="none"/>
        </w:rPr>
        <w:fldChar w:fldCharType="end"/>
      </w:r>
      <w:r>
        <w:rPr>
          <w:rStyle w:val="1008"/>
          <w:highlight w:val="none"/>
        </w:rPr>
        <w:fldChar w:fldCharType="end"/>
      </w:r>
      <w:r>
        <w:rPr>
          <w:rFonts w:ascii="Calibri" w:hAnsi="Calibri"/>
          <w:b w:val="0"/>
          <w:szCs w:val="22"/>
          <w:highlight w:val="none"/>
        </w:rPr>
      </w:r>
      <w:r/>
    </w:p>
    <w:p>
      <w:pPr>
        <w:pStyle w:val="995"/>
        <w:rPr>
          <w:color w:val="000000"/>
          <w:sz w:val="24"/>
          <w:szCs w:val="24"/>
          <w:highlight w:val="none"/>
        </w:rPr>
      </w:pPr>
      <w:r>
        <w:rPr>
          <w:b w:val="0"/>
          <w:bCs w:val="0"/>
          <w:color w:val="000000"/>
          <w:sz w:val="24"/>
          <w:szCs w:val="24"/>
          <w:highlight w:val="none"/>
          <w:lang w:val="zh-CN"/>
        </w:rPr>
        <w:fldChar w:fldCharType="end"/>
      </w:r>
      <w:r>
        <w:rPr>
          <w:b w:val="0"/>
          <w:bCs w:val="0"/>
          <w:color w:val="000000"/>
          <w:sz w:val="24"/>
          <w:szCs w:val="24"/>
          <w:highlight w:val="none"/>
          <w:lang w:val="zh-CN"/>
        </w:rPr>
        <w:br w:type="page" w:clear="all"/>
      </w:r>
      <w:bookmarkStart w:id="0" w:name="_Toc359921166"/>
      <w:r/>
      <w:bookmarkStart w:id="1" w:name="_Toc178063794"/>
      <w:r>
        <w:rPr>
          <w:rFonts w:hint="eastAsia"/>
          <w:color w:val="000000"/>
          <w:sz w:val="24"/>
          <w:szCs w:val="24"/>
          <w:highlight w:val="none"/>
        </w:rPr>
        <w:t xml:space="preserve">第一章</w:t>
      </w:r>
      <w:r>
        <w:rPr>
          <w:color w:val="000000"/>
          <w:sz w:val="24"/>
          <w:szCs w:val="24"/>
          <w:highlight w:val="none"/>
        </w:rPr>
        <w:t xml:space="preserve">  </w:t>
      </w:r>
      <w:r>
        <w:rPr>
          <w:rFonts w:hint="eastAsia"/>
          <w:color w:val="000000"/>
          <w:sz w:val="24"/>
          <w:szCs w:val="24"/>
          <w:highlight w:val="none"/>
        </w:rPr>
        <w:t xml:space="preserve">投标邀请</w:t>
      </w:r>
      <w:bookmarkEnd w:id="0"/>
      <w:r>
        <w:rPr>
          <w:rFonts w:hint="eastAsia"/>
          <w:color w:val="000000"/>
          <w:sz w:val="24"/>
          <w:szCs w:val="24"/>
          <w:highlight w:val="none"/>
        </w:rPr>
        <w:t xml:space="preserve">函</w:t>
      </w:r>
      <w:bookmarkEnd w:id="1"/>
      <w:r>
        <w:rPr>
          <w:color w:val="000000"/>
          <w:sz w:val="24"/>
          <w:szCs w:val="24"/>
          <w:highlight w:val="none"/>
        </w:rPr>
      </w:r>
      <w:r/>
    </w:p>
    <w:p>
      <w:pPr>
        <w:pStyle w:val="922"/>
        <w:ind w:firstLine="480"/>
        <w:spacing w:line="360" w:lineRule="auto"/>
        <w:rPr>
          <w:rFonts w:hint="eastAsia" w:ascii="宋体" w:hAnsi="宋体"/>
          <w:color w:val="000000"/>
          <w:sz w:val="24"/>
          <w:highlight w:val="none"/>
          <w:u w:val="single"/>
        </w:rPr>
      </w:pPr>
      <w:r>
        <w:rPr>
          <w:rFonts w:ascii="宋体" w:hAnsi="宋体"/>
          <w:color w:val="000000"/>
          <w:sz w:val="24"/>
          <w:highlight w:val="none"/>
          <w:u w:val="single"/>
        </w:rPr>
        <w:t xml:space="preserve">                   :</w:t>
      </w:r>
      <w:r>
        <w:rPr>
          <w:rFonts w:hint="eastAsia" w:ascii="宋体" w:hAnsi="宋体"/>
          <w:color w:val="000000"/>
          <w:sz w:val="24"/>
          <w:highlight w:val="none"/>
          <w:u w:val="single"/>
        </w:rPr>
      </w:r>
      <w:r/>
    </w:p>
    <w:p>
      <w:pPr>
        <w:pStyle w:val="922"/>
        <w:ind w:firstLine="480"/>
        <w:rPr>
          <w:rFonts w:hint="eastAsia" w:ascii="宋体" w:hAnsi="宋体"/>
          <w:sz w:val="24"/>
          <w:highlight w:val="none"/>
        </w:rPr>
      </w:pPr>
      <w:r/>
      <w:bookmarkStart w:id="2" w:name="_Toc35393621"/>
      <w:r/>
      <w:bookmarkEnd w:id="2"/>
      <w:r/>
      <w:bookmarkStart w:id="3" w:name="_Toc28359002"/>
      <w:r>
        <w:rPr>
          <w:rFonts w:hint="eastAsia" w:ascii="宋体" w:hAnsi="宋体"/>
          <w:sz w:val="24"/>
          <w:highlight w:val="none"/>
        </w:rPr>
        <w:t xml:space="preserve">苏州公正建设咨询房地产评估有限公司受昆山高新技术产业开发区管理委员会（昆山市玉山镇人民政府民政科）委托，为其拟采购的昆山高新区社会事业局养老助餐服务项目进行公开招标，欢迎符合条件的供应商前来参与。</w:t>
      </w:r>
      <w:r>
        <w:rPr>
          <w:rFonts w:hint="eastAsia"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一、项目基本情况</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1.项目编号：</w:t>
      </w:r>
      <w:r>
        <w:rPr>
          <w:rFonts w:hint="eastAsia" w:ascii="宋体" w:hAnsi="宋体"/>
          <w:sz w:val="24"/>
          <w:highlight w:val="none"/>
          <w:lang w:eastAsia="zh-CN"/>
        </w:rPr>
        <w:t xml:space="preserve">JSZC-320583-SZGZ-G2025-0157</w:t>
      </w:r>
      <w:r>
        <w:rPr>
          <w:rFonts w:hint="eastAsia" w:ascii="宋体" w:hAnsi="宋体"/>
          <w:sz w:val="24"/>
          <w:highlight w:val="none"/>
        </w:rPr>
        <w:t xml:space="preserve">号</w:t>
      </w:r>
      <w:r>
        <w:rPr>
          <w:rFonts w:ascii="宋体" w:hAnsi="宋体"/>
          <w:sz w:val="24"/>
          <w:highlight w:val="none"/>
        </w:rPr>
      </w:r>
      <w:r/>
    </w:p>
    <w:p>
      <w:pPr>
        <w:pStyle w:val="922"/>
        <w:ind w:firstLine="480"/>
        <w:rPr>
          <w:rFonts w:hint="eastAsia" w:ascii="宋体" w:hAnsi="宋体"/>
          <w:sz w:val="24"/>
          <w:highlight w:val="none"/>
        </w:rPr>
      </w:pPr>
      <w:r>
        <w:rPr>
          <w:rFonts w:hint="eastAsia" w:ascii="宋体" w:hAnsi="宋体"/>
          <w:sz w:val="24"/>
          <w:highlight w:val="none"/>
        </w:rPr>
        <w:t xml:space="preserve">2.项目名称：昆山高新区社会事业局养老助餐服务项目</w:t>
      </w:r>
      <w:r>
        <w:rPr>
          <w:rFonts w:hint="eastAsia"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3.预算金额：人民币叁佰玖拾万元整（¥：3900000.00</w:t>
      </w:r>
      <w:r>
        <w:rPr>
          <w:rFonts w:ascii="宋体" w:hAnsi="宋体"/>
          <w:sz w:val="24"/>
          <w:highlight w:val="none"/>
        </w:rPr>
        <w:t xml:space="preserve">元</w:t>
      </w:r>
      <w:r>
        <w:rPr>
          <w:rFonts w:hint="eastAsia" w:ascii="宋体" w:hAnsi="宋体"/>
          <w:sz w:val="24"/>
          <w:highlight w:val="none"/>
        </w:rPr>
        <w:t xml:space="preserve">），最高限单价25.07元/份。</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4.采购需求：</w:t>
      </w:r>
      <w:r>
        <w:rPr>
          <w:rFonts w:ascii="宋体" w:hAnsi="宋体"/>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5262"/>
        <w:gridCol w:w="1783"/>
        <w:gridCol w:w="1375"/>
      </w:tblGrid>
      <w:tr>
        <w:trPr>
          <w:trHeight w:val="777" w:hRule="exact"/>
        </w:trPr>
        <w:tc>
          <w:tcPr>
            <w:tcW w:w="467" w:type="dxa"/>
            <w:vAlign w:val="center"/>
            <w:textDirection w:val="lrTb"/>
            <w:noWrap w:val="false"/>
          </w:tcPr>
          <w:p>
            <w:pPr>
              <w:pStyle w:val="922"/>
              <w:jc w:val="center"/>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2833" w:type="dxa"/>
            <w:vAlign w:val="center"/>
            <w:textDirection w:val="lrTb"/>
            <w:noWrap w:val="false"/>
          </w:tcPr>
          <w:p>
            <w:pPr>
              <w:pStyle w:val="922"/>
              <w:jc w:val="center"/>
              <w:rPr>
                <w:rFonts w:hint="eastAsia" w:ascii="宋体" w:hAnsi="宋体"/>
                <w:sz w:val="24"/>
                <w:highlight w:val="none"/>
              </w:rPr>
            </w:pPr>
            <w:r>
              <w:rPr>
                <w:rFonts w:hint="eastAsia" w:ascii="宋体" w:hAnsi="宋体"/>
                <w:sz w:val="24"/>
                <w:highlight w:val="none"/>
              </w:rPr>
              <w:t xml:space="preserve">项目名称</w:t>
            </w:r>
            <w:r>
              <w:rPr>
                <w:rFonts w:hint="eastAsia" w:ascii="宋体" w:hAnsi="宋体"/>
                <w:sz w:val="24"/>
                <w:highlight w:val="none"/>
              </w:rPr>
            </w:r>
            <w:r/>
          </w:p>
        </w:tc>
        <w:tc>
          <w:tcPr>
            <w:tcW w:w="960" w:type="dxa"/>
            <w:vAlign w:val="center"/>
            <w:textDirection w:val="lrTb"/>
            <w:noWrap w:val="false"/>
          </w:tcPr>
          <w:p>
            <w:pPr>
              <w:pStyle w:val="922"/>
              <w:jc w:val="center"/>
              <w:rPr>
                <w:rFonts w:hint="eastAsia" w:ascii="宋体" w:hAnsi="宋体"/>
                <w:sz w:val="24"/>
                <w:highlight w:val="none"/>
              </w:rPr>
            </w:pPr>
            <w:r>
              <w:rPr>
                <w:rFonts w:hint="eastAsia" w:ascii="宋体" w:hAnsi="宋体"/>
                <w:sz w:val="24"/>
                <w:highlight w:val="none"/>
              </w:rPr>
              <w:t xml:space="preserve">预算金额</w:t>
            </w:r>
            <w:r>
              <w:rPr>
                <w:rFonts w:hint="eastAsia" w:ascii="宋体" w:hAnsi="宋体"/>
                <w:sz w:val="24"/>
                <w:highlight w:val="none"/>
              </w:rPr>
            </w:r>
            <w:r/>
          </w:p>
        </w:tc>
        <w:tc>
          <w:tcPr>
            <w:tcW w:w="740" w:type="dxa"/>
            <w:vAlign w:val="center"/>
            <w:textDirection w:val="lrTb"/>
            <w:noWrap w:val="false"/>
          </w:tcPr>
          <w:p>
            <w:pPr>
              <w:pStyle w:val="922"/>
              <w:rPr>
                <w:rFonts w:hint="eastAsia" w:ascii="宋体" w:hAnsi="宋体"/>
                <w:sz w:val="24"/>
                <w:highlight w:val="none"/>
              </w:rPr>
            </w:pPr>
            <w:r>
              <w:rPr>
                <w:rFonts w:hint="eastAsia" w:ascii="宋体" w:hAnsi="宋体"/>
                <w:sz w:val="24"/>
                <w:highlight w:val="none"/>
              </w:rPr>
              <w:t xml:space="preserve">服务期限</w:t>
            </w:r>
            <w:r>
              <w:rPr>
                <w:rFonts w:hint="eastAsia" w:ascii="宋体" w:hAnsi="宋体"/>
                <w:sz w:val="24"/>
                <w:highlight w:val="none"/>
              </w:rPr>
            </w:r>
            <w:r/>
          </w:p>
        </w:tc>
      </w:tr>
      <w:tr>
        <w:trPr>
          <w:trHeight w:val="847" w:hRule="exact"/>
        </w:trPr>
        <w:tc>
          <w:tcPr>
            <w:tcW w:w="467" w:type="dxa"/>
            <w:vAlign w:val="center"/>
            <w:textDirection w:val="lrTb"/>
            <w:noWrap w:val="false"/>
          </w:tcPr>
          <w:p>
            <w:pPr>
              <w:pStyle w:val="922"/>
              <w:jc w:val="center"/>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2833" w:type="dxa"/>
            <w:vAlign w:val="center"/>
            <w:textDirection w:val="lrTb"/>
            <w:noWrap w:val="false"/>
          </w:tcPr>
          <w:p>
            <w:pPr>
              <w:pStyle w:val="922"/>
              <w:jc w:val="center"/>
              <w:rPr>
                <w:rFonts w:hint="eastAsia" w:ascii="宋体" w:hAnsi="宋体"/>
                <w:sz w:val="24"/>
                <w:highlight w:val="none"/>
              </w:rPr>
            </w:pPr>
            <w:r>
              <w:rPr>
                <w:rFonts w:hint="eastAsia" w:ascii="宋体" w:hAnsi="宋体"/>
                <w:sz w:val="24"/>
                <w:highlight w:val="none"/>
              </w:rPr>
              <w:t xml:space="preserve">昆山高新区社会事业局养老助餐服务项目</w:t>
            </w:r>
            <w:r>
              <w:rPr>
                <w:rFonts w:hint="eastAsia" w:ascii="宋体" w:hAnsi="宋体"/>
                <w:sz w:val="24"/>
                <w:highlight w:val="none"/>
              </w:rPr>
            </w:r>
            <w:r/>
          </w:p>
        </w:tc>
        <w:tc>
          <w:tcPr>
            <w:tcW w:w="960" w:type="dxa"/>
            <w:vAlign w:val="center"/>
            <w:textDirection w:val="lrTb"/>
            <w:noWrap w:val="false"/>
          </w:tcPr>
          <w:p>
            <w:pPr>
              <w:pStyle w:val="922"/>
              <w:jc w:val="center"/>
              <w:rPr>
                <w:rFonts w:hint="eastAsia" w:ascii="宋体" w:hAnsi="宋体"/>
                <w:sz w:val="24"/>
                <w:highlight w:val="none"/>
              </w:rPr>
            </w:pPr>
            <w:r>
              <w:rPr>
                <w:rFonts w:hint="eastAsia" w:ascii="宋体" w:hAnsi="宋体"/>
                <w:sz w:val="24"/>
                <w:highlight w:val="none"/>
              </w:rPr>
              <w:t xml:space="preserve">3900000元</w:t>
            </w:r>
            <w:r>
              <w:rPr>
                <w:rFonts w:hint="eastAsia" w:ascii="宋体" w:hAnsi="宋体"/>
                <w:sz w:val="24"/>
                <w:highlight w:val="none"/>
              </w:rPr>
            </w:r>
            <w:r/>
          </w:p>
        </w:tc>
        <w:tc>
          <w:tcPr>
            <w:tcW w:w="740" w:type="dxa"/>
            <w:vAlign w:val="center"/>
            <w:textDirection w:val="lrTb"/>
            <w:noWrap w:val="false"/>
          </w:tcPr>
          <w:p>
            <w:pPr>
              <w:pStyle w:val="922"/>
              <w:jc w:val="center"/>
              <w:rPr>
                <w:rFonts w:hint="eastAsia" w:ascii="宋体" w:hAnsi="宋体"/>
                <w:sz w:val="24"/>
                <w:highlight w:val="none"/>
              </w:rPr>
            </w:pPr>
            <w:r>
              <w:rPr>
                <w:rFonts w:hint="eastAsia" w:ascii="宋体" w:hAnsi="宋体"/>
                <w:sz w:val="24"/>
                <w:highlight w:val="none"/>
              </w:rPr>
              <w:t xml:space="preserve">1年</w:t>
            </w:r>
            <w:r>
              <w:rPr>
                <w:rFonts w:hint="eastAsia" w:ascii="宋体" w:hAnsi="宋体"/>
                <w:sz w:val="24"/>
                <w:highlight w:val="none"/>
              </w:rPr>
            </w:r>
            <w:r/>
          </w:p>
        </w:tc>
      </w:tr>
    </w:tbl>
    <w:p>
      <w:pPr>
        <w:pStyle w:val="922"/>
        <w:ind w:firstLine="480"/>
        <w:rPr>
          <w:rFonts w:hint="eastAsia" w:ascii="宋体" w:hAnsi="宋体"/>
          <w:sz w:val="24"/>
          <w:highlight w:val="none"/>
        </w:rPr>
      </w:pPr>
      <w:r>
        <w:rPr>
          <w:rFonts w:hint="eastAsia" w:ascii="宋体" w:hAnsi="宋体"/>
          <w:sz w:val="24"/>
          <w:highlight w:val="none"/>
        </w:rPr>
      </w:r>
      <w:r/>
    </w:p>
    <w:p>
      <w:pPr>
        <w:pStyle w:val="922"/>
        <w:ind w:firstLine="480"/>
        <w:rPr>
          <w:rFonts w:ascii="宋体" w:hAnsi="宋体"/>
          <w:sz w:val="24"/>
          <w:highlight w:val="none"/>
        </w:rPr>
      </w:pPr>
      <w:r/>
      <w:bookmarkEnd w:id="3"/>
      <w:r/>
      <w:bookmarkStart w:id="4" w:name="_Toc28359080"/>
      <w:r/>
      <w:bookmarkStart w:id="5" w:name="_Toc28359085"/>
      <w:r>
        <w:rPr>
          <w:rFonts w:hint="eastAsia" w:ascii="宋体" w:hAnsi="宋体"/>
          <w:sz w:val="24"/>
          <w:highlight w:val="none"/>
        </w:rPr>
        <w:t xml:space="preserve">二、申请人的资格要求：</w:t>
      </w:r>
      <w:r>
        <w:rPr>
          <w:rFonts w:ascii="宋体" w:hAnsi="宋体"/>
          <w:sz w:val="24"/>
          <w:highlight w:val="none"/>
        </w:rPr>
      </w:r>
      <w:r/>
    </w:p>
    <w:p>
      <w:pPr>
        <w:pStyle w:val="922"/>
        <w:ind w:firstLine="480"/>
        <w:rPr>
          <w:rFonts w:ascii="宋体" w:hAnsi="宋体"/>
          <w:sz w:val="24"/>
          <w:highlight w:val="none"/>
        </w:rPr>
      </w:pPr>
      <w:r/>
      <w:bookmarkEnd w:id="4"/>
      <w:r/>
      <w:bookmarkStart w:id="6" w:name="_Toc35393792"/>
      <w:r>
        <w:rPr>
          <w:rFonts w:hint="eastAsia" w:ascii="宋体" w:hAnsi="宋体"/>
          <w:sz w:val="24"/>
          <w:highlight w:val="none"/>
        </w:rPr>
        <w:t xml:space="preserve">1.满足《中华人民共和国政府采购法》第二十二条规定。</w:t>
      </w:r>
      <w:r>
        <w:rPr>
          <w:rFonts w:ascii="宋体" w:hAnsi="宋体"/>
          <w:sz w:val="24"/>
          <w:highlight w:val="none"/>
        </w:rPr>
      </w:r>
      <w:r/>
    </w:p>
    <w:p>
      <w:pPr>
        <w:pStyle w:val="922"/>
        <w:ind w:firstLine="480"/>
        <w:rPr>
          <w:rFonts w:hint="eastAsia" w:ascii="宋体" w:hAnsi="宋体"/>
          <w:sz w:val="24"/>
          <w:highlight w:val="none"/>
        </w:rPr>
      </w:pPr>
      <w:r/>
      <w:bookmarkStart w:id="7" w:name="_Toc28359004"/>
      <w:r>
        <w:rPr>
          <w:rFonts w:hint="eastAsia" w:ascii="宋体" w:hAnsi="宋体"/>
          <w:sz w:val="24"/>
          <w:highlight w:val="none"/>
        </w:rPr>
        <w:t xml:space="preserve">2.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rPr>
          <w:rFonts w:hint="eastAsia" w:ascii="宋体" w:hAnsi="宋体"/>
          <w:sz w:val="24"/>
          <w:highlight w:val="none"/>
        </w:rPr>
      </w:r>
      <w:r/>
    </w:p>
    <w:p>
      <w:pPr>
        <w:pStyle w:val="922"/>
        <w:ind w:firstLine="480"/>
        <w:rPr>
          <w:rFonts w:hint="eastAsia" w:ascii="宋体" w:hAnsi="宋体"/>
          <w:sz w:val="24"/>
          <w:highlight w:val="none"/>
        </w:rPr>
      </w:pPr>
      <w:r>
        <w:rPr>
          <w:rFonts w:hint="eastAsia" w:ascii="宋体" w:hAnsi="宋体"/>
          <w:sz w:val="24"/>
          <w:highlight w:val="none"/>
        </w:rPr>
        <w:t xml:space="preserve">3.本项目的特定资格要求：</w:t>
      </w:r>
      <w:bookmarkEnd w:id="7"/>
      <w:r>
        <w:rPr>
          <w:rFonts w:hint="eastAsia" w:ascii="宋体" w:hAnsi="宋体"/>
          <w:sz w:val="24"/>
          <w:highlight w:val="none"/>
        </w:rPr>
        <w:t xml:space="preserve">投标人具有有效的“餐饮服务许可证”或“食品经营许可证”。</w:t>
      </w:r>
      <w:r>
        <w:rPr>
          <w:rFonts w:hint="eastAsia" w:ascii="宋体" w:hAnsi="宋体"/>
          <w:sz w:val="24"/>
          <w:highlight w:val="none"/>
        </w:rPr>
      </w:r>
      <w:r/>
    </w:p>
    <w:p>
      <w:pPr>
        <w:pStyle w:val="922"/>
        <w:ind w:firstLine="480"/>
        <w:rPr>
          <w:rFonts w:hint="eastAsia" w:ascii="宋体" w:hAnsi="宋体"/>
          <w:sz w:val="24"/>
          <w:highlight w:val="none"/>
        </w:rPr>
      </w:pPr>
      <w:r>
        <w:rPr>
          <w:rFonts w:hint="eastAsia" w:ascii="宋体" w:hAnsi="宋体"/>
          <w:sz w:val="24"/>
          <w:highlight w:val="none"/>
        </w:rPr>
        <w:t xml:space="preserve">4.拒绝下述供应商参加本次采购活动：</w:t>
      </w:r>
      <w:r>
        <w:rPr>
          <w:rFonts w:hint="eastAsia"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（1）供应商单位负责人为同一人或者存在直接控股、管理关系的不同供应商，不得参加同一合同项下的政府采购活动。</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（2）凡为采购项目提供整体设计、规范编制或者项目管理、监理、检测等服务的供应商，不得再参加本项目的采购活动。</w:t>
      </w:r>
      <w:r>
        <w:rPr>
          <w:rFonts w:ascii="宋体" w:hAnsi="宋体"/>
          <w:sz w:val="24"/>
          <w:highlight w:val="none"/>
        </w:rPr>
      </w:r>
      <w:r/>
    </w:p>
    <w:p>
      <w:pPr>
        <w:pStyle w:val="922"/>
        <w:ind w:firstLine="480"/>
        <w:rPr>
          <w:rFonts w:hint="eastAsia" w:ascii="宋体" w:hAnsi="宋体"/>
          <w:sz w:val="24"/>
          <w:highlight w:val="none"/>
        </w:rPr>
      </w:pPr>
      <w:r>
        <w:rPr>
          <w:rFonts w:hint="eastAsia" w:ascii="宋体" w:hAnsi="宋体"/>
          <w:sz w:val="24"/>
          <w:highlight w:val="none"/>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5.是否接受联合体投标：不接受。</w:t>
      </w:r>
      <w:r>
        <w:rPr>
          <w:rFonts w:ascii="宋体" w:hAnsi="宋体"/>
          <w:sz w:val="24"/>
          <w:highlight w:val="none"/>
        </w:rPr>
      </w:r>
      <w:r/>
    </w:p>
    <w:p>
      <w:pPr>
        <w:pStyle w:val="922"/>
        <w:ind w:firstLine="480"/>
        <w:rPr>
          <w:rFonts w:ascii="宋体" w:hAnsi="宋体"/>
          <w:sz w:val="24"/>
          <w:highlight w:val="none"/>
        </w:rPr>
      </w:pPr>
      <w:r/>
      <w:bookmarkEnd w:id="6"/>
      <w:r/>
      <w:bookmarkStart w:id="8" w:name="_Toc35393625"/>
      <w:r>
        <w:rPr>
          <w:rFonts w:hint="eastAsia" w:ascii="宋体" w:hAnsi="宋体"/>
          <w:sz w:val="24"/>
          <w:highlight w:val="none"/>
        </w:rPr>
        <w:t xml:space="preserve">三、获取采购文件</w:t>
      </w:r>
      <w:r>
        <w:rPr>
          <w:rFonts w:ascii="宋体" w:hAnsi="宋体"/>
          <w:sz w:val="24"/>
          <w:highlight w:val="none"/>
        </w:rPr>
      </w:r>
      <w:r/>
    </w:p>
    <w:p>
      <w:pPr>
        <w:pStyle w:val="922"/>
        <w:ind w:firstLine="480"/>
        <w:rPr>
          <w:rFonts w:ascii="宋体" w:hAnsi="宋体"/>
          <w:sz w:val="24"/>
          <w:highlight w:val="none"/>
        </w:rPr>
      </w:pPr>
      <w:r/>
      <w:bookmarkStart w:id="9" w:name="_Toc28359005"/>
      <w:r>
        <w:rPr>
          <w:rFonts w:hint="eastAsia" w:ascii="宋体" w:hAnsi="宋体"/>
          <w:sz w:val="24"/>
          <w:highlight w:val="none"/>
        </w:rPr>
        <w:t xml:space="preserve">1.获取招标文件时间：上网之日起至2025年</w:t>
      </w:r>
      <w:r>
        <w:rPr>
          <w:rFonts w:hint="eastAsia" w:ascii="宋体" w:hAnsi="宋体"/>
          <w:sz w:val="24"/>
          <w:highlight w:val="none"/>
          <w:lang w:val="en-US" w:eastAsia="zh-CN"/>
        </w:rPr>
        <w:t xml:space="preserve">12</w:t>
      </w:r>
      <w:r>
        <w:rPr>
          <w:rFonts w:hint="eastAsia" w:ascii="宋体" w:hAnsi="宋体"/>
          <w:sz w:val="24"/>
          <w:highlight w:val="none"/>
        </w:rPr>
        <w:t xml:space="preserve">月</w:t>
      </w:r>
      <w:r>
        <w:rPr>
          <w:rFonts w:hint="eastAsia" w:ascii="宋体" w:hAnsi="宋体"/>
          <w:sz w:val="24"/>
          <w:highlight w:val="none"/>
          <w:lang w:val="en-US" w:eastAsia="zh-CN"/>
        </w:rPr>
        <w:t xml:space="preserve">12</w:t>
      </w:r>
      <w:r>
        <w:rPr>
          <w:rFonts w:hint="eastAsia" w:ascii="宋体" w:hAnsi="宋体"/>
          <w:sz w:val="24"/>
          <w:highlight w:val="none"/>
        </w:rPr>
        <w:t xml:space="preserve">日（北京时间）；</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2.获取招标文件方式：登录“苏采云”系统自行下载本项目招标文件；</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3.招标文件售价：0元。</w:t>
      </w:r>
      <w:r>
        <w:rPr>
          <w:rFonts w:ascii="宋体" w:hAnsi="宋体"/>
          <w:sz w:val="24"/>
          <w:highlight w:val="none"/>
        </w:rPr>
      </w:r>
      <w:r/>
    </w:p>
    <w:p>
      <w:pPr>
        <w:pStyle w:val="922"/>
        <w:ind w:firstLine="480"/>
        <w:rPr>
          <w:rFonts w:hint="eastAsia" w:ascii="宋体" w:hAnsi="宋体"/>
          <w:sz w:val="24"/>
          <w:highlight w:val="none"/>
        </w:rPr>
      </w:pPr>
      <w:r>
        <w:rPr>
          <w:rFonts w:hint="eastAsia" w:ascii="宋体" w:hAnsi="宋体"/>
          <w:sz w:val="24"/>
          <w:highlight w:val="none"/>
        </w:rPr>
        <w:t xml:space="preserve">四、提交投标文件截止时间、开标时间和地点</w:t>
      </w:r>
      <w:r>
        <w:rPr>
          <w:rFonts w:hint="eastAsia" w:ascii="宋体" w:hAnsi="宋体"/>
          <w:sz w:val="24"/>
          <w:highlight w:val="none"/>
        </w:rPr>
      </w:r>
      <w:r/>
    </w:p>
    <w:p>
      <w:pPr>
        <w:pStyle w:val="922"/>
        <w:ind w:firstLine="480"/>
        <w:rPr>
          <w:rFonts w:ascii="宋体" w:hAnsi="宋体"/>
          <w:sz w:val="24"/>
          <w:highlight w:val="none"/>
        </w:rPr>
      </w:pPr>
      <w:r/>
      <w:bookmarkEnd w:id="9"/>
      <w:r/>
      <w:bookmarkStart w:id="10" w:name="_Toc35393794"/>
      <w:r/>
      <w:bookmarkEnd w:id="10"/>
      <w:r>
        <w:rPr>
          <w:rFonts w:hint="eastAsia" w:ascii="宋体" w:hAnsi="宋体"/>
          <w:sz w:val="24"/>
          <w:highlight w:val="none"/>
        </w:rPr>
        <w:t xml:space="preserve">1.提交投标文件截止时间：2025年</w:t>
      </w:r>
      <w:r>
        <w:rPr>
          <w:rFonts w:hint="eastAsia" w:ascii="宋体" w:hAnsi="宋体"/>
          <w:sz w:val="24"/>
          <w:highlight w:val="none"/>
          <w:lang w:val="en-US" w:eastAsia="zh-CN"/>
        </w:rPr>
        <w:t xml:space="preserve">12</w:t>
      </w:r>
      <w:r>
        <w:rPr>
          <w:rFonts w:hint="eastAsia" w:ascii="宋体" w:hAnsi="宋体"/>
          <w:sz w:val="24"/>
          <w:highlight w:val="none"/>
        </w:rPr>
        <w:t xml:space="preserve">月</w:t>
      </w:r>
      <w:r>
        <w:rPr>
          <w:rFonts w:hint="eastAsia" w:ascii="宋体" w:hAnsi="宋体"/>
          <w:sz w:val="24"/>
          <w:highlight w:val="none"/>
          <w:lang w:val="en-US" w:eastAsia="zh-CN"/>
        </w:rPr>
        <w:t xml:space="preserve">24</w:t>
      </w:r>
      <w:r>
        <w:rPr>
          <w:rFonts w:hint="eastAsia" w:ascii="宋体" w:hAnsi="宋体"/>
          <w:sz w:val="24"/>
          <w:highlight w:val="none"/>
        </w:rPr>
        <w:t xml:space="preserve">日09:30（北京时间）；</w:t>
      </w:r>
      <w:r>
        <w:rPr>
          <w:rFonts w:ascii="宋体" w:hAnsi="宋体"/>
          <w:sz w:val="24"/>
          <w:highlight w:val="none"/>
        </w:rPr>
      </w:r>
      <w:r/>
    </w:p>
    <w:p>
      <w:pPr>
        <w:pStyle w:val="922"/>
        <w:ind w:firstLine="480"/>
        <w:rPr>
          <w:rFonts w:hint="eastAsia" w:ascii="宋体" w:hAnsi="宋体"/>
          <w:sz w:val="24"/>
          <w:highlight w:val="none"/>
        </w:rPr>
      </w:pPr>
      <w:r>
        <w:rPr>
          <w:rFonts w:hint="eastAsia" w:ascii="宋体" w:hAnsi="宋体"/>
          <w:sz w:val="24"/>
          <w:highlight w:val="none"/>
        </w:rPr>
        <w:t xml:space="preserve">2.开标时间：2025年</w:t>
      </w:r>
      <w:r>
        <w:rPr>
          <w:rFonts w:hint="eastAsia" w:ascii="宋体" w:hAnsi="宋体"/>
          <w:sz w:val="24"/>
          <w:highlight w:val="none"/>
          <w:lang w:val="en-US" w:eastAsia="zh-CN"/>
        </w:rPr>
        <w:t xml:space="preserve">12</w:t>
      </w:r>
      <w:r>
        <w:rPr>
          <w:rFonts w:hint="eastAsia" w:ascii="宋体" w:hAnsi="宋体"/>
          <w:sz w:val="24"/>
          <w:highlight w:val="none"/>
        </w:rPr>
        <w:t xml:space="preserve">月</w:t>
      </w:r>
      <w:r>
        <w:rPr>
          <w:rFonts w:hint="eastAsia" w:ascii="宋体" w:hAnsi="宋体"/>
          <w:sz w:val="24"/>
          <w:highlight w:val="none"/>
          <w:lang w:val="en-US" w:eastAsia="zh-CN"/>
        </w:rPr>
        <w:t xml:space="preserve">24</w:t>
      </w:r>
      <w:r>
        <w:rPr>
          <w:rFonts w:hint="eastAsia" w:ascii="宋体" w:hAnsi="宋体"/>
          <w:sz w:val="24"/>
          <w:highlight w:val="none"/>
        </w:rPr>
        <w:t xml:space="preserve">日09:30（北京时间）；</w:t>
      </w:r>
      <w:r>
        <w:rPr>
          <w:rFonts w:hint="eastAsia"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3.远程CA预解密时间：以开标时“苏采云”系统为准；</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4.开标地点：“苏采云”系统（网址：http://jszfcg.jsczt.cn/）</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请供应商确保电脑、系统及其他设备（视频输入输出设备等）无误，且开标直至项目结束始终保持系统在线状态。</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五、公告期限</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自本公告发布之日起5个工作日。</w:t>
      </w:r>
      <w:r>
        <w:rPr>
          <w:rFonts w:ascii="宋体" w:hAnsi="宋体"/>
          <w:sz w:val="24"/>
          <w:highlight w:val="none"/>
        </w:rPr>
      </w:r>
      <w:r/>
    </w:p>
    <w:p>
      <w:pPr>
        <w:pStyle w:val="922"/>
        <w:ind w:firstLine="480"/>
        <w:rPr>
          <w:rFonts w:ascii="宋体" w:hAnsi="宋体"/>
          <w:sz w:val="24"/>
          <w:highlight w:val="none"/>
        </w:rPr>
      </w:pPr>
      <w:r/>
      <w:bookmarkEnd w:id="8"/>
      <w:r/>
      <w:bookmarkStart w:id="11" w:name="_Toc35393626"/>
      <w:r>
        <w:rPr>
          <w:rFonts w:hint="eastAsia" w:ascii="宋体" w:hAnsi="宋体"/>
          <w:sz w:val="24"/>
          <w:highlight w:val="none"/>
        </w:rPr>
        <w:t xml:space="preserve">六、其他补充事宜</w:t>
      </w:r>
      <w:r>
        <w:rPr>
          <w:rFonts w:ascii="宋体" w:hAnsi="宋体"/>
          <w:sz w:val="24"/>
          <w:highlight w:val="none"/>
        </w:rPr>
      </w:r>
      <w:r/>
    </w:p>
    <w:p>
      <w:pPr>
        <w:pStyle w:val="922"/>
        <w:ind w:firstLine="480"/>
        <w:rPr>
          <w:rFonts w:ascii="宋体" w:hAnsi="宋体"/>
          <w:sz w:val="24"/>
          <w:highlight w:val="none"/>
        </w:rPr>
      </w:pPr>
      <w:r/>
      <w:bookmarkEnd w:id="11"/>
      <w:r/>
      <w:bookmarkStart w:id="12" w:name="_Toc35393796"/>
      <w:r/>
      <w:bookmarkEnd w:id="12"/>
      <w:r>
        <w:rPr>
          <w:rFonts w:hint="eastAsia" w:ascii="宋体" w:hAnsi="宋体"/>
          <w:sz w:val="24"/>
          <w:highlight w:val="none"/>
        </w:rPr>
        <w:t xml:space="preserve">1.CA证书办理</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供</w:t>
      </w:r>
      <w:r>
        <w:rPr>
          <w:rFonts w:hint="eastAsia" w:ascii="宋体" w:hAnsi="宋体"/>
          <w:sz w:val="24"/>
          <w:highlight w:val="none"/>
        </w:rPr>
        <w:t xml:space="preserve">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SimSun" w:hAnsi="SimSun" w:eastAsia="SimSun" w:cs="SimSun"/>
          <w:color w:val="000000"/>
          <w:sz w:val="24"/>
        </w:rPr>
        <w:t xml:space="preserve">苏州市高新区邓蔚路105号狮山科技馆一楼服务大厅，咨询电话：0512-65737699</w:t>
      </w:r>
      <w:r>
        <w:rPr>
          <w:rFonts w:hint="eastAsia" w:ascii="宋体" w:hAnsi="宋体"/>
          <w:sz w:val="24"/>
          <w:highlight w:val="none"/>
        </w:rPr>
        <w:t xml:space="preserve">。</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2.参与采购活动</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3.电子投标准备</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在系统操作过程中如有疑问，请按以下方式联系：</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注册咨询：18261002950；</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CA技术咨询电话：400-608-6099；</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签章使用问题：025-83633811、025-83633812、15380932027、15371015030；</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系统使用指导与咨询：联系电话：18261002950；QQ：3048755361、1315179389、895706745。</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七、对本次招标提出询问，请按以下方式联系。</w:t>
      </w:r>
      <w:r>
        <w:rPr>
          <w:rFonts w:ascii="宋体" w:hAnsi="宋体"/>
          <w:sz w:val="24"/>
          <w:highlight w:val="none"/>
        </w:rPr>
      </w:r>
      <w:r/>
    </w:p>
    <w:p>
      <w:pPr>
        <w:pStyle w:val="922"/>
        <w:ind w:firstLine="480"/>
        <w:rPr>
          <w:rFonts w:hint="eastAsia" w:ascii="宋体" w:hAnsi="宋体"/>
          <w:sz w:val="24"/>
          <w:highlight w:val="none"/>
        </w:rPr>
      </w:pPr>
      <w:r/>
      <w:bookmarkEnd w:id="5"/>
      <w:r>
        <w:rPr>
          <w:rFonts w:hint="eastAsia" w:ascii="宋体" w:hAnsi="宋体"/>
          <w:sz w:val="24"/>
          <w:highlight w:val="none"/>
        </w:rPr>
        <w:t xml:space="preserve">1.采购人：昆山高新技术产业开发区管理委员会（昆山市玉山镇人民政府民政科）</w:t>
      </w:r>
      <w:r>
        <w:rPr>
          <w:rFonts w:hint="eastAsia"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联系人：</w:t>
      </w:r>
      <w:r>
        <w:rPr>
          <w:rFonts w:ascii="SimSun" w:hAnsi="SimSun" w:eastAsia="SimSun" w:cs="SimSun"/>
          <w:color w:val="000000"/>
          <w:sz w:val="24"/>
        </w:rPr>
        <w:t xml:space="preserve">陈科</w:t>
      </w:r>
      <w:r>
        <w:rPr>
          <w:rFonts w:hint="eastAsia" w:ascii="宋体" w:hAnsi="宋体"/>
          <w:sz w:val="24"/>
          <w:highlight w:val="none"/>
        </w:rPr>
        <w:t xml:space="preserve">           联系电话：</w:t>
      </w:r>
      <w:r>
        <w:rPr>
          <w:rFonts w:ascii="宋体" w:hAnsi="宋体"/>
          <w:sz w:val="24"/>
          <w:highlight w:val="none"/>
        </w:rPr>
        <w:t xml:space="preserve">0512-50160013</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2.招标代理机构名称：苏州公正建设咨询房地产评估有限公司</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地址：昆山市萧林路189号新港湾光大广场401、501室</w:t>
      </w:r>
      <w:r>
        <w:rPr>
          <w:rFonts w:ascii="宋体" w:hAnsi="宋体"/>
          <w:sz w:val="24"/>
          <w:highlight w:val="none"/>
        </w:rPr>
      </w:r>
      <w:r/>
    </w:p>
    <w:p>
      <w:pPr>
        <w:pStyle w:val="922"/>
        <w:ind w:firstLine="480"/>
        <w:rPr>
          <w:rFonts w:ascii="宋体" w:hAnsi="宋体"/>
          <w:sz w:val="24"/>
          <w:highlight w:val="none"/>
        </w:rPr>
      </w:pPr>
      <w:r>
        <w:rPr>
          <w:rFonts w:hint="eastAsia" w:ascii="宋体" w:hAnsi="宋体"/>
          <w:sz w:val="24"/>
          <w:highlight w:val="none"/>
        </w:rPr>
        <w:t xml:space="preserve">联系人：王文科、张玲       联系电话：0512-57172999</w:t>
      </w:r>
      <w:r>
        <w:rPr>
          <w:rFonts w:ascii="宋体" w:hAnsi="宋体"/>
          <w:sz w:val="24"/>
          <w:highlight w:val="none"/>
        </w:rPr>
      </w:r>
      <w:r/>
    </w:p>
    <w:p>
      <w:pPr>
        <w:pStyle w:val="922"/>
        <w:jc w:val="left"/>
        <w:widowControl/>
        <w:rPr>
          <w:rFonts w:ascii="Times New Roman" w:hAnsi="Times New Roman"/>
          <w:highlight w:val="none"/>
        </w:rPr>
      </w:pPr>
      <w:r>
        <w:rPr>
          <w:rFonts w:ascii="Times New Roman" w:hAnsi="Times New Roman"/>
          <w:highlight w:val="none"/>
        </w:rPr>
      </w:r>
      <w:r/>
    </w:p>
    <w:p>
      <w:pPr>
        <w:pStyle w:val="995"/>
        <w:rPr>
          <w:color w:val="000000"/>
          <w:sz w:val="24"/>
          <w:szCs w:val="24"/>
          <w:highlight w:val="none"/>
        </w:rPr>
      </w:pPr>
      <w:r>
        <w:rPr>
          <w:b w:val="0"/>
          <w:color w:val="000000"/>
          <w:sz w:val="24"/>
          <w:szCs w:val="24"/>
          <w:highlight w:val="none"/>
        </w:rPr>
        <w:br w:type="page" w:clear="all"/>
      </w:r>
      <w:bookmarkStart w:id="13" w:name="_Toc359921167"/>
      <w:r/>
      <w:bookmarkStart w:id="14" w:name="_Toc178063795"/>
      <w:r>
        <w:rPr>
          <w:rFonts w:hint="eastAsia"/>
          <w:color w:val="000000"/>
          <w:sz w:val="24"/>
          <w:szCs w:val="24"/>
          <w:highlight w:val="none"/>
        </w:rPr>
        <w:t xml:space="preserve">第二章</w:t>
      </w:r>
      <w:r>
        <w:rPr>
          <w:color w:val="000000"/>
          <w:sz w:val="24"/>
          <w:szCs w:val="24"/>
          <w:highlight w:val="none"/>
        </w:rPr>
        <w:t xml:space="preserve">  </w:t>
      </w:r>
      <w:r>
        <w:rPr>
          <w:rFonts w:hint="eastAsia"/>
          <w:color w:val="000000"/>
          <w:sz w:val="24"/>
          <w:szCs w:val="24"/>
          <w:highlight w:val="none"/>
        </w:rPr>
        <w:t xml:space="preserve">投标人须知</w:t>
      </w:r>
      <w:bookmarkEnd w:id="13"/>
      <w:r/>
      <w:bookmarkEnd w:id="14"/>
      <w:r>
        <w:rPr>
          <w:color w:val="000000"/>
          <w:sz w:val="24"/>
          <w:szCs w:val="24"/>
          <w:highlight w:val="none"/>
        </w:rPr>
      </w:r>
      <w:r/>
    </w:p>
    <w:p>
      <w:pPr>
        <w:pStyle w:val="92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说明和释义</w:t>
      </w:r>
      <w:r>
        <w:rPr>
          <w:rFonts w:ascii="宋体" w:hAnsi="宋体" w:cs="Arial"/>
          <w:b/>
          <w:color w:val="000000"/>
          <w:szCs w:val="21"/>
          <w:highlight w:val="none"/>
        </w:rPr>
      </w:r>
      <w:r/>
    </w:p>
    <w:p>
      <w:pPr>
        <w:pStyle w:val="92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说明</w:t>
      </w:r>
      <w:r>
        <w:rPr>
          <w:rFonts w:hint="eastAsia"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本招标文件仅适用于苏州公正建设咨询房地产评估有限公司组织的招标活动。</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本次招标活动及因本次招标产生的合同受中国法律制约和保护。</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本招标文件的解释权属于苏州公正建设咨询房地产评估有限公司。</w:t>
      </w:r>
      <w:r>
        <w:rPr>
          <w:rFonts w:ascii="宋体" w:hAnsi="宋体" w:cs="Arial"/>
          <w:color w:val="000000"/>
          <w:szCs w:val="21"/>
          <w:highlight w:val="none"/>
        </w:rPr>
      </w:r>
      <w:r/>
    </w:p>
    <w:p>
      <w:pPr>
        <w:pStyle w:val="92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词语释义</w:t>
      </w:r>
      <w:r>
        <w:rPr>
          <w:rFonts w:hint="eastAsia"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招标人：具体组织实施招标活动的法人。</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投标人：经认定有资格响应招标，参加投标竞争的法人或其他组织和自然人。</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响应：投标人根据招标人或招标人发布的招标文件，编制投标文件并按规定投标的行为。</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甲方（采购人）：合同中明确规定的实际购买货物和服务的法人或其他组织和自然人。</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乙方（供应商）：合同中规定的向采购方提供货物和服务的法人或其他组织和自然人。</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知识产权：指专利权、商标权、著作权等无形资产专有权的统称。</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天：日历日。</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交货地点：合同中明确约定的乙方提交的货物和服务最终到达地点。</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合同价款：根据合同规定，乙方在正确地履行合同义务后甲方应支付给乙方的价款。</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产地：货物开采、生长、生产、最终制造、加工或提供服务的来源地。</w:t>
      </w:r>
      <w:r>
        <w:rPr>
          <w:rFonts w:ascii="宋体" w:hAnsi="宋体" w:cs="Arial"/>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不可抗力：不能预见、不能避免并且不能克服的客观情况。</w:t>
      </w:r>
      <w:r>
        <w:rPr>
          <w:rFonts w:hint="eastAsia" w:ascii="宋体" w:hAnsi="宋体" w:cs="Arial"/>
          <w:color w:val="000000"/>
          <w:szCs w:val="21"/>
          <w:highlight w:val="none"/>
        </w:rPr>
      </w:r>
      <w:r/>
    </w:p>
    <w:p>
      <w:pPr>
        <w:pStyle w:val="92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政策功能</w:t>
      </w:r>
      <w:r>
        <w:rPr>
          <w:rFonts w:hint="eastAsia" w:ascii="宋体" w:hAnsi="宋体" w:cs="Arial"/>
          <w:b/>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政府采购促进中小企业发展，小微企业（含小型、微型企业）提供的产品和服务在评标时将获得优势，具体详见本招标文件内容。</w:t>
      </w:r>
      <w:r>
        <w:rPr>
          <w:rFonts w:hint="eastAsia" w:ascii="宋体" w:hAnsi="宋体" w:cs="Arial"/>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★残疾人福利性单位及监狱企业视同小型企业（需提供</w:t>
      </w:r>
      <w:r>
        <w:rPr>
          <w:rFonts w:hint="eastAsia" w:ascii="宋体" w:hAnsi="宋体"/>
          <w:color w:val="000000"/>
          <w:spacing w:val="6"/>
          <w:szCs w:val="21"/>
          <w:highlight w:val="none"/>
        </w:rPr>
        <w:t xml:space="preserve">残疾人福利性单位声明函，详见本招标文件</w:t>
      </w:r>
      <w:r>
        <w:rPr>
          <w:rFonts w:hint="eastAsia" w:ascii="宋体" w:hAnsi="宋体" w:cs="Arial"/>
          <w:color w:val="000000"/>
          <w:szCs w:val="21"/>
          <w:highlight w:val="none"/>
        </w:rPr>
        <w:t xml:space="preserve">），享受评审中价格扣除等促进中小企业发展的政府采购政策。</w:t>
      </w:r>
      <w:r>
        <w:rPr>
          <w:rFonts w:hint="eastAsia" w:ascii="宋体" w:hAnsi="宋体" w:cs="Arial"/>
          <w:color w:val="000000"/>
          <w:szCs w:val="21"/>
          <w:highlight w:val="none"/>
        </w:rPr>
      </w:r>
      <w:r/>
    </w:p>
    <w:p>
      <w:pPr>
        <w:pStyle w:val="92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投标人</w:t>
      </w:r>
      <w:r>
        <w:rPr>
          <w:rFonts w:ascii="宋体" w:hAnsi="宋体" w:cs="Arial"/>
          <w:b/>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合格投标人的范围</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详见“第一章投标邀请函”中投标人要求。</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投标委托</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如投标人代表不是法定代表人，须持有《法定代表人授权委托书》（格式见附件）。</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投标费用 </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无论投标过程中的做法和结果如何，投标人自行承担所有与参加投标有关的全部费用。</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联合投标</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本项目不接受联合体投标</w:t>
      </w:r>
      <w:r>
        <w:rPr>
          <w:rFonts w:ascii="宋体" w:hAnsi="宋体" w:cs="Arial"/>
          <w:color w:val="000000"/>
          <w:szCs w:val="21"/>
          <w:highlight w:val="none"/>
        </w:rPr>
      </w:r>
      <w:r/>
    </w:p>
    <w:p>
      <w:pPr>
        <w:pStyle w:val="92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招标文件的说明</w:t>
      </w:r>
      <w:r>
        <w:rPr>
          <w:rFonts w:ascii="宋体" w:hAnsi="宋体" w:cs="Arial"/>
          <w:b/>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招标文件</w:t>
      </w:r>
      <w:r>
        <w:rPr>
          <w:rFonts w:ascii="宋体" w:hAnsi="宋体" w:cs="Arial"/>
          <w:b/>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cs="Arial"/>
          <w:color w:val="000000"/>
          <w:szCs w:val="21"/>
          <w:highlight w:val="none"/>
        </w:rPr>
      </w:r>
      <w:r/>
    </w:p>
    <w:p>
      <w:pPr>
        <w:pStyle w:val="922"/>
        <w:numPr>
          <w:ilvl w:val="1"/>
          <w:numId w:val="2"/>
        </w:numPr>
        <w:ind w:left="0" w:firstLine="425"/>
        <w:spacing w:line="360" w:lineRule="auto"/>
        <w:rPr>
          <w:bCs/>
          <w:szCs w:val="21"/>
          <w:highlight w:val="none"/>
        </w:rPr>
      </w:pPr>
      <w:r>
        <w:rPr>
          <w:bCs/>
          <w:szCs w:val="21"/>
          <w:highlight w:val="none"/>
        </w:rPr>
        <w:t xml:space="preserve">投标文件按招标文件规定的格式制作，需盖章之处，应加盖电子签章，如果未按要求制作上传，将被认定为未实质性响应招标文件要求。</w:t>
      </w:r>
      <w:r>
        <w:rPr>
          <w:bCs/>
          <w:szCs w:val="21"/>
          <w:highlight w:val="none"/>
        </w:rPr>
      </w:r>
      <w:r/>
    </w:p>
    <w:p>
      <w:pPr>
        <w:pStyle w:val="922"/>
        <w:numPr>
          <w:ilvl w:val="1"/>
          <w:numId w:val="2"/>
        </w:numPr>
        <w:ind w:left="0" w:firstLine="425"/>
        <w:spacing w:line="360" w:lineRule="auto"/>
        <w:rPr>
          <w:bCs/>
          <w:szCs w:val="21"/>
          <w:highlight w:val="none"/>
        </w:rPr>
      </w:pPr>
      <w:r>
        <w:rPr>
          <w:bCs/>
          <w:szCs w:val="21"/>
          <w:highlight w:val="none"/>
        </w:rPr>
        <w:t xml:space="preserve">招标文件要求提交的相关证明材料，投标人应在投标文件中提供相应的清晰扫描件，如果材料不清晰导致无法识别的，将被视为无效材料。</w:t>
      </w:r>
      <w:r>
        <w:rPr>
          <w:bCs/>
          <w:szCs w:val="21"/>
          <w:highlight w:val="none"/>
        </w:rPr>
      </w:r>
      <w:r/>
    </w:p>
    <w:p>
      <w:pPr>
        <w:pStyle w:val="922"/>
        <w:numPr>
          <w:ilvl w:val="1"/>
          <w:numId w:val="2"/>
        </w:numPr>
        <w:ind w:left="0" w:firstLine="425"/>
        <w:spacing w:line="360" w:lineRule="auto"/>
        <w:rPr>
          <w:bCs/>
          <w:szCs w:val="21"/>
          <w:highlight w:val="none"/>
        </w:rPr>
      </w:pPr>
      <w:r>
        <w:rPr>
          <w:bCs/>
          <w:szCs w:val="21"/>
          <w:highlight w:val="none"/>
        </w:rPr>
        <w:t xml:space="preserve">投标人根据招标文件内容自行勘查现场，以获取编制投标文件和签署合同所需的信息，勘查现场所发生的费用由投标人自行承担。</w:t>
      </w:r>
      <w:r>
        <w:rPr>
          <w:bCs/>
          <w:szCs w:val="21"/>
          <w:highlight w:val="none"/>
        </w:rPr>
      </w:r>
      <w:r/>
    </w:p>
    <w:p>
      <w:pPr>
        <w:pStyle w:val="92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招标文件的澄清</w:t>
      </w:r>
      <w:r>
        <w:rPr>
          <w:rFonts w:hint="eastAsia"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投标人在获取招标文件后，若有疑问，应于答疑问题提交截止时间之前，在项目交易系统上向招标代理人提出，招标代理人将在项目交易系统上予以解答。</w:t>
      </w:r>
      <w:r>
        <w:rPr>
          <w:rFonts w:ascii="宋体" w:hAnsi="宋体" w:cs="Arial"/>
          <w:color w:val="000000"/>
          <w:szCs w:val="21"/>
          <w:highlight w:val="none"/>
        </w:rPr>
      </w:r>
      <w:r/>
    </w:p>
    <w:p>
      <w:pPr>
        <w:pStyle w:val="92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招标文件的修改</w:t>
      </w:r>
      <w:r>
        <w:rPr>
          <w:rFonts w:hint="eastAsia" w:ascii="宋体" w:hAnsi="宋体" w:cs="Arial"/>
          <w:b/>
          <w:color w:val="000000"/>
          <w:szCs w:val="21"/>
          <w:highlight w:val="none"/>
        </w:rPr>
      </w:r>
      <w:r/>
    </w:p>
    <w:p>
      <w:pPr>
        <w:pStyle w:val="922"/>
        <w:numPr>
          <w:ilvl w:val="1"/>
          <w:numId w:val="2"/>
        </w:numPr>
        <w:ind w:left="0" w:firstLine="425"/>
        <w:spacing w:line="360" w:lineRule="auto"/>
        <w:rPr>
          <w:bCs/>
          <w:szCs w:val="21"/>
          <w:highlight w:val="none"/>
        </w:rPr>
      </w:pPr>
      <w:r>
        <w:rPr>
          <w:rFonts w:hint="eastAsia"/>
          <w:bCs/>
          <w:szCs w:val="21"/>
          <w:highlight w:val="none"/>
        </w:rPr>
        <w:t xml:space="preserve">在网上投标截止时间前，招标代理人有权在出于实际需要或澄清投标人问题的情况下，以补充文件的形式对招标文件进行修改。</w:t>
      </w:r>
      <w:r>
        <w:rPr>
          <w:bCs/>
          <w:szCs w:val="21"/>
          <w:highlight w:val="none"/>
        </w:rPr>
      </w:r>
      <w:r/>
    </w:p>
    <w:p>
      <w:pPr>
        <w:pStyle w:val="922"/>
        <w:numPr>
          <w:ilvl w:val="1"/>
          <w:numId w:val="2"/>
        </w:numPr>
        <w:ind w:left="0" w:firstLine="425"/>
        <w:spacing w:line="360" w:lineRule="auto"/>
        <w:rPr>
          <w:bCs/>
          <w:szCs w:val="21"/>
          <w:highlight w:val="none"/>
        </w:rPr>
      </w:pPr>
      <w:r>
        <w:rPr>
          <w:rFonts w:hint="eastAsia"/>
          <w:bCs/>
          <w:szCs w:val="21"/>
          <w:highlight w:val="none"/>
        </w:rPr>
        <w:t xml:space="preserve">招标代理人对招标文件的修改，将以更正公告形式发布于政府采购信息发布媒体上，敬请投标人及时查询。更正内容作为招标文件的组成部分，对所有投标人具有约束力。</w:t>
      </w:r>
      <w:r>
        <w:rPr>
          <w:bCs/>
          <w:szCs w:val="21"/>
          <w:highlight w:val="none"/>
        </w:rPr>
      </w:r>
      <w:r/>
    </w:p>
    <w:p>
      <w:pPr>
        <w:pStyle w:val="922"/>
        <w:numPr>
          <w:ilvl w:val="1"/>
          <w:numId w:val="2"/>
        </w:numPr>
        <w:ind w:left="0" w:firstLine="425"/>
        <w:spacing w:line="360" w:lineRule="auto"/>
        <w:rPr>
          <w:bCs/>
          <w:szCs w:val="21"/>
          <w:highlight w:val="none"/>
        </w:rPr>
      </w:pPr>
      <w:r>
        <w:rPr>
          <w:rFonts w:hint="eastAsia"/>
          <w:bCs/>
          <w:szCs w:val="21"/>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bCs/>
          <w:szCs w:val="21"/>
          <w:highlight w:val="none"/>
        </w:rPr>
      </w:r>
      <w:r/>
    </w:p>
    <w:p>
      <w:pPr>
        <w:pStyle w:val="922"/>
        <w:numPr>
          <w:ilvl w:val="1"/>
          <w:numId w:val="2"/>
        </w:numPr>
        <w:ind w:left="0" w:firstLine="425"/>
        <w:spacing w:line="360" w:lineRule="auto"/>
        <w:rPr>
          <w:bCs/>
          <w:szCs w:val="21"/>
          <w:highlight w:val="none"/>
        </w:rPr>
      </w:pPr>
      <w:r>
        <w:rPr>
          <w:rFonts w:hint="eastAsia"/>
          <w:bCs/>
          <w:szCs w:val="21"/>
          <w:highlight w:val="none"/>
        </w:rPr>
        <w:t xml:space="preserve">供应商应在投标截止时间前关注原采购信息发布媒体上有关本招标项目有无变更公告。</w:t>
      </w:r>
      <w:r>
        <w:rPr>
          <w:bCs/>
          <w:szCs w:val="21"/>
          <w:highlight w:val="none"/>
        </w:rPr>
      </w:r>
      <w:r/>
    </w:p>
    <w:p>
      <w:pPr>
        <w:pStyle w:val="92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质疑</w:t>
      </w:r>
      <w:r>
        <w:rPr>
          <w:rFonts w:hint="eastAsia" w:ascii="宋体" w:hAnsi="宋体" w:cs="Arial"/>
          <w:b/>
          <w:color w:val="000000"/>
          <w:szCs w:val="21"/>
          <w:highlight w:val="none"/>
        </w:rPr>
      </w:r>
      <w:r/>
    </w:p>
    <w:p>
      <w:pPr>
        <w:pStyle w:val="922"/>
        <w:numPr>
          <w:ilvl w:val="1"/>
          <w:numId w:val="2"/>
        </w:numPr>
        <w:ind w:left="0" w:firstLine="425"/>
        <w:spacing w:line="360" w:lineRule="auto"/>
        <w:rPr>
          <w:bCs/>
          <w:szCs w:val="21"/>
          <w:highlight w:val="none"/>
        </w:rPr>
      </w:pPr>
      <w:r>
        <w:rPr>
          <w:rFonts w:hint="eastAsia"/>
          <w:bCs/>
          <w:szCs w:val="21"/>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bCs/>
          <w:szCs w:val="21"/>
          <w:highlight w:val="none"/>
        </w:rPr>
        <w:t xml:space="preserve">供应商在法定质疑期内一次性提出针对同一采购程序环节的质疑。</w:t>
      </w:r>
      <w:r>
        <w:rPr>
          <w:rFonts w:hint="eastAsia"/>
          <w:bCs/>
          <w:szCs w:val="21"/>
          <w:highlight w:val="none"/>
        </w:rPr>
        <w:t xml:space="preserve">质疑函按中华人民共和国财政部</w:t>
      </w:r>
      <w:r>
        <w:rPr>
          <w:bCs/>
          <w:szCs w:val="21"/>
          <w:highlight w:val="none"/>
        </w:rPr>
        <w:t xml:space="preserve">政府采购供应商质疑函范本</w:t>
      </w:r>
      <w:r>
        <w:rPr>
          <w:rFonts w:hint="eastAsia"/>
          <w:bCs/>
          <w:szCs w:val="21"/>
          <w:highlight w:val="none"/>
        </w:rPr>
        <w:t xml:space="preserve">提交否则不予受理。</w:t>
      </w:r>
      <w:r>
        <w:rPr>
          <w:bCs/>
          <w:szCs w:val="21"/>
          <w:highlight w:val="none"/>
        </w:rPr>
      </w:r>
      <w:r/>
    </w:p>
    <w:p>
      <w:pPr>
        <w:pStyle w:val="922"/>
        <w:numPr>
          <w:ilvl w:val="1"/>
          <w:numId w:val="2"/>
        </w:numPr>
        <w:ind w:left="0" w:firstLine="425"/>
        <w:spacing w:line="360" w:lineRule="auto"/>
        <w:rPr>
          <w:bCs/>
          <w:szCs w:val="21"/>
          <w:highlight w:val="none"/>
        </w:rPr>
      </w:pPr>
      <w:r>
        <w:rPr>
          <w:rFonts w:hint="eastAsia"/>
          <w:bCs/>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bCs/>
          <w:szCs w:val="21"/>
          <w:highlight w:val="none"/>
        </w:rPr>
      </w:r>
      <w:r/>
    </w:p>
    <w:p>
      <w:pPr>
        <w:pStyle w:val="922"/>
        <w:numPr>
          <w:ilvl w:val="1"/>
          <w:numId w:val="2"/>
        </w:numPr>
        <w:ind w:left="0" w:firstLine="425"/>
        <w:spacing w:line="360" w:lineRule="auto"/>
        <w:rPr>
          <w:bCs/>
          <w:szCs w:val="21"/>
          <w:highlight w:val="none"/>
        </w:rPr>
      </w:pPr>
      <w:r>
        <w:rPr>
          <w:rFonts w:hint="eastAsia"/>
          <w:bCs/>
          <w:szCs w:val="21"/>
          <w:highlight w:val="none"/>
        </w:rPr>
        <w:t xml:space="preserve">质疑必须以参加投标供应商法定代表人或授权代表（投标文件中所确定的）原件送达的方式提交，否则，招标代理人有权不予受理。</w:t>
      </w:r>
      <w:r>
        <w:rPr>
          <w:bCs/>
          <w:szCs w:val="21"/>
          <w:highlight w:val="none"/>
        </w:rPr>
      </w:r>
      <w:r/>
    </w:p>
    <w:p>
      <w:pPr>
        <w:pStyle w:val="922"/>
        <w:numPr>
          <w:ilvl w:val="1"/>
          <w:numId w:val="2"/>
        </w:numPr>
        <w:ind w:left="0" w:firstLine="425"/>
        <w:spacing w:line="360" w:lineRule="auto"/>
        <w:rPr>
          <w:szCs w:val="21"/>
          <w:highlight w:val="none"/>
        </w:rPr>
      </w:pPr>
      <w:r>
        <w:rPr>
          <w:szCs w:val="21"/>
          <w:highlight w:val="none"/>
        </w:rPr>
        <w:t xml:space="preserve">上述应知其权益受到损害之日是指：</w:t>
      </w:r>
      <w:r>
        <w:rPr>
          <w:szCs w:val="21"/>
          <w:highlight w:val="none"/>
        </w:rPr>
      </w:r>
      <w:r/>
    </w:p>
    <w:p>
      <w:pPr>
        <w:pStyle w:val="922"/>
        <w:numPr>
          <w:ilvl w:val="2"/>
          <w:numId w:val="2"/>
        </w:numPr>
        <w:ind w:left="426" w:firstLine="0"/>
        <w:spacing w:line="360" w:lineRule="auto"/>
        <w:rPr>
          <w:szCs w:val="21"/>
          <w:highlight w:val="none"/>
        </w:rPr>
      </w:pPr>
      <w:r>
        <w:rPr>
          <w:szCs w:val="21"/>
          <w:highlight w:val="none"/>
        </w:rPr>
        <w:t xml:space="preserve">对招标文件提出质疑的，为招标文件公告期限届满之日起计算；</w:t>
      </w:r>
      <w:r>
        <w:rPr>
          <w:szCs w:val="21"/>
          <w:highlight w:val="none"/>
        </w:rPr>
      </w:r>
      <w:r/>
    </w:p>
    <w:p>
      <w:pPr>
        <w:pStyle w:val="922"/>
        <w:numPr>
          <w:ilvl w:val="2"/>
          <w:numId w:val="2"/>
        </w:numPr>
        <w:ind w:left="426" w:firstLine="0"/>
        <w:spacing w:line="360" w:lineRule="auto"/>
        <w:rPr>
          <w:szCs w:val="21"/>
          <w:highlight w:val="none"/>
        </w:rPr>
      </w:pPr>
      <w:r>
        <w:rPr>
          <w:szCs w:val="21"/>
          <w:highlight w:val="none"/>
        </w:rPr>
        <w:t xml:space="preserve">对采购过程提出质疑的，自采购程序环节结束之日起计算；</w:t>
      </w:r>
      <w:r>
        <w:rPr>
          <w:szCs w:val="21"/>
          <w:highlight w:val="none"/>
        </w:rPr>
      </w:r>
      <w:r/>
    </w:p>
    <w:p>
      <w:pPr>
        <w:pStyle w:val="922"/>
        <w:numPr>
          <w:ilvl w:val="2"/>
          <w:numId w:val="2"/>
        </w:numPr>
        <w:ind w:left="426" w:firstLine="0"/>
        <w:spacing w:line="360" w:lineRule="auto"/>
        <w:rPr>
          <w:szCs w:val="21"/>
          <w:highlight w:val="none"/>
        </w:rPr>
      </w:pPr>
      <w:r>
        <w:rPr>
          <w:szCs w:val="21"/>
          <w:highlight w:val="none"/>
        </w:rPr>
        <w:t xml:space="preserve">对中标结果提出质疑的，自中标结果公告期限届满之日起计算。</w:t>
      </w:r>
      <w:r>
        <w:rPr>
          <w:szCs w:val="21"/>
          <w:highlight w:val="none"/>
        </w:rPr>
      </w:r>
      <w:r/>
    </w:p>
    <w:p>
      <w:pPr>
        <w:pStyle w:val="922"/>
        <w:numPr>
          <w:ilvl w:val="1"/>
          <w:numId w:val="2"/>
        </w:numPr>
        <w:ind w:left="0" w:firstLine="425"/>
        <w:spacing w:line="360" w:lineRule="auto"/>
        <w:rPr>
          <w:bCs/>
          <w:szCs w:val="21"/>
          <w:highlight w:val="none"/>
        </w:rPr>
      </w:pPr>
      <w:r>
        <w:rPr>
          <w:rFonts w:hint="eastAsia"/>
          <w:bCs/>
          <w:szCs w:val="21"/>
          <w:highlight w:val="none"/>
        </w:rPr>
        <w:t xml:space="preserve">质疑文件应包括以下主要内容，并按照“谁主张、谁举证”的原则，附上相关证明材料。否则，招标代理人或采购人不予受理：</w:t>
      </w:r>
      <w:r>
        <w:rPr>
          <w:bCs/>
          <w:szCs w:val="21"/>
          <w:highlight w:val="none"/>
        </w:rPr>
      </w:r>
      <w:r/>
    </w:p>
    <w:p>
      <w:pPr>
        <w:pStyle w:val="922"/>
        <w:numPr>
          <w:ilvl w:val="2"/>
          <w:numId w:val="2"/>
        </w:numPr>
        <w:ind w:left="426" w:firstLine="0"/>
        <w:spacing w:line="360" w:lineRule="auto"/>
        <w:rPr>
          <w:szCs w:val="21"/>
          <w:highlight w:val="none"/>
        </w:rPr>
      </w:pPr>
      <w:r>
        <w:rPr>
          <w:szCs w:val="21"/>
          <w:highlight w:val="none"/>
        </w:rPr>
        <w:t xml:space="preserve">供应商的姓名或者名称、地址、邮编、联系人及联系电话；</w:t>
      </w:r>
      <w:r>
        <w:rPr>
          <w:szCs w:val="21"/>
          <w:highlight w:val="none"/>
        </w:rPr>
      </w:r>
      <w:r/>
    </w:p>
    <w:p>
      <w:pPr>
        <w:pStyle w:val="922"/>
        <w:numPr>
          <w:ilvl w:val="2"/>
          <w:numId w:val="2"/>
        </w:numPr>
        <w:ind w:left="426" w:firstLine="0"/>
        <w:spacing w:line="360" w:lineRule="auto"/>
        <w:rPr>
          <w:szCs w:val="21"/>
          <w:highlight w:val="none"/>
        </w:rPr>
      </w:pPr>
      <w:r>
        <w:rPr>
          <w:szCs w:val="21"/>
          <w:highlight w:val="none"/>
        </w:rPr>
        <w:t xml:space="preserve">质疑项目的名称、编号；</w:t>
      </w:r>
      <w:r>
        <w:rPr>
          <w:szCs w:val="21"/>
          <w:highlight w:val="none"/>
        </w:rPr>
      </w:r>
      <w:r/>
    </w:p>
    <w:p>
      <w:pPr>
        <w:pStyle w:val="922"/>
        <w:numPr>
          <w:ilvl w:val="2"/>
          <w:numId w:val="2"/>
        </w:numPr>
        <w:ind w:left="426" w:firstLine="0"/>
        <w:spacing w:line="360" w:lineRule="auto"/>
        <w:rPr>
          <w:szCs w:val="21"/>
          <w:highlight w:val="none"/>
        </w:rPr>
      </w:pPr>
      <w:r>
        <w:rPr>
          <w:szCs w:val="21"/>
          <w:highlight w:val="none"/>
        </w:rPr>
        <w:t xml:space="preserve">具体、明确的质疑事项和与质疑事项相关的请求；</w:t>
      </w:r>
      <w:r>
        <w:rPr>
          <w:szCs w:val="21"/>
          <w:highlight w:val="none"/>
        </w:rPr>
      </w:r>
      <w:r/>
    </w:p>
    <w:p>
      <w:pPr>
        <w:pStyle w:val="922"/>
        <w:numPr>
          <w:ilvl w:val="2"/>
          <w:numId w:val="2"/>
        </w:numPr>
        <w:ind w:left="426" w:firstLine="0"/>
        <w:spacing w:line="360" w:lineRule="auto"/>
        <w:rPr>
          <w:szCs w:val="21"/>
          <w:highlight w:val="none"/>
        </w:rPr>
      </w:pPr>
      <w:r>
        <w:rPr>
          <w:szCs w:val="21"/>
          <w:highlight w:val="none"/>
        </w:rPr>
        <w:t xml:space="preserve">事实依据；</w:t>
      </w:r>
      <w:r>
        <w:rPr>
          <w:szCs w:val="21"/>
          <w:highlight w:val="none"/>
        </w:rPr>
      </w:r>
      <w:r/>
    </w:p>
    <w:p>
      <w:pPr>
        <w:pStyle w:val="922"/>
        <w:numPr>
          <w:ilvl w:val="2"/>
          <w:numId w:val="2"/>
        </w:numPr>
        <w:ind w:left="426" w:firstLine="0"/>
        <w:spacing w:line="360" w:lineRule="auto"/>
        <w:rPr>
          <w:szCs w:val="21"/>
          <w:highlight w:val="none"/>
        </w:rPr>
      </w:pPr>
      <w:r>
        <w:rPr>
          <w:szCs w:val="21"/>
          <w:highlight w:val="none"/>
        </w:rPr>
        <w:t xml:space="preserve">必要的法律依据；</w:t>
      </w:r>
      <w:r>
        <w:rPr>
          <w:szCs w:val="21"/>
          <w:highlight w:val="none"/>
        </w:rPr>
      </w:r>
      <w:r/>
    </w:p>
    <w:p>
      <w:pPr>
        <w:pStyle w:val="922"/>
        <w:numPr>
          <w:ilvl w:val="2"/>
          <w:numId w:val="2"/>
        </w:numPr>
        <w:ind w:left="426" w:firstLine="0"/>
        <w:spacing w:line="360" w:lineRule="auto"/>
        <w:rPr>
          <w:szCs w:val="21"/>
          <w:highlight w:val="none"/>
        </w:rPr>
      </w:pPr>
      <w:r>
        <w:rPr>
          <w:szCs w:val="21"/>
          <w:highlight w:val="none"/>
        </w:rPr>
        <w:t xml:space="preserve">提出质疑的日期。</w:t>
      </w:r>
      <w:r>
        <w:rPr>
          <w:szCs w:val="21"/>
          <w:highlight w:val="none"/>
        </w:rPr>
      </w:r>
      <w:r/>
    </w:p>
    <w:p>
      <w:pPr>
        <w:pStyle w:val="922"/>
        <w:numPr>
          <w:ilvl w:val="1"/>
          <w:numId w:val="2"/>
        </w:numPr>
        <w:ind w:left="0" w:firstLine="425"/>
        <w:spacing w:line="360" w:lineRule="auto"/>
        <w:rPr>
          <w:bCs/>
          <w:szCs w:val="21"/>
          <w:highlight w:val="none"/>
        </w:rPr>
      </w:pPr>
      <w:r>
        <w:rPr>
          <w:bCs/>
          <w:szCs w:val="21"/>
          <w:highlight w:val="none"/>
        </w:rPr>
        <w:t xml:space="preserve">供应商为自然人的，应当由本人签字；供应商为法人或者其他组织的，应当由法定代表人、主要负责人，或者其授权代表签字或者盖章，并加盖公章。 </w:t>
      </w:r>
      <w:r>
        <w:rPr>
          <w:bCs/>
          <w:szCs w:val="21"/>
          <w:highlight w:val="none"/>
        </w:rPr>
      </w:r>
      <w:r/>
    </w:p>
    <w:p>
      <w:pPr>
        <w:pStyle w:val="922"/>
        <w:numPr>
          <w:ilvl w:val="1"/>
          <w:numId w:val="2"/>
        </w:numPr>
        <w:ind w:left="0" w:firstLine="425"/>
        <w:spacing w:line="360" w:lineRule="auto"/>
        <w:rPr>
          <w:rFonts w:hint="eastAsia"/>
          <w:bCs/>
          <w:szCs w:val="21"/>
          <w:highlight w:val="none"/>
        </w:rPr>
      </w:pPr>
      <w:r>
        <w:rPr>
          <w:rFonts w:hint="eastAsia"/>
          <w:bCs/>
          <w:szCs w:val="21"/>
          <w:highlight w:val="none"/>
        </w:rPr>
        <w:t xml:space="preserve">被质疑人在收到供应商的书面质疑后将及时组织调查核实，在七个工作日内作出答复，如对招标文件进行必要的澄清或者修改的，参照本须知“招标文件的修改”条款执行。</w:t>
      </w:r>
      <w:r>
        <w:rPr>
          <w:rFonts w:hint="eastAsia"/>
          <w:bCs/>
          <w:szCs w:val="21"/>
          <w:highlight w:val="none"/>
        </w:rPr>
      </w:r>
      <w:r/>
    </w:p>
    <w:p>
      <w:pPr>
        <w:pStyle w:val="922"/>
        <w:numPr>
          <w:ilvl w:val="1"/>
          <w:numId w:val="2"/>
        </w:numPr>
        <w:ind w:left="0" w:firstLine="425"/>
        <w:spacing w:line="360" w:lineRule="auto"/>
        <w:rPr>
          <w:rFonts w:hint="eastAsia"/>
          <w:bCs/>
          <w:szCs w:val="21"/>
          <w:highlight w:val="none"/>
        </w:rPr>
      </w:pPr>
      <w:r>
        <w:rPr>
          <w:rFonts w:hint="eastAsia"/>
          <w:bCs/>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bCs/>
          <w:szCs w:val="21"/>
          <w:highlight w:val="none"/>
        </w:rPr>
      </w:r>
      <w:r/>
    </w:p>
    <w:p>
      <w:pPr>
        <w:pStyle w:val="92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投标文件说明</w:t>
      </w:r>
      <w:r>
        <w:rPr>
          <w:rFonts w:ascii="宋体" w:hAnsi="宋体" w:cs="Arial"/>
          <w:b/>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投标文件计量单位和使用文字</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投标文件中所使用的计量单位，除招标文件中有特殊要求外，应采用国家法定计量单位。</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电子投标文件的组成和顺序</w:t>
      </w:r>
      <w:r>
        <w:rPr>
          <w:rFonts w:ascii="宋体" w:hAnsi="宋体" w:cs="Arial"/>
          <w:b/>
          <w:color w:val="000000"/>
          <w:szCs w:val="21"/>
          <w:highlight w:val="none"/>
        </w:rPr>
      </w:r>
      <w:r/>
    </w:p>
    <w:p>
      <w:pPr>
        <w:pStyle w:val="922"/>
        <w:numPr>
          <w:ilvl w:val="1"/>
          <w:numId w:val="2"/>
        </w:numPr>
        <w:spacing w:line="360" w:lineRule="auto"/>
        <w:rPr>
          <w:rFonts w:ascii="宋体" w:hAnsi="宋体" w:cs="Arial"/>
          <w:szCs w:val="21"/>
          <w:highlight w:val="none"/>
        </w:rPr>
      </w:pPr>
      <w:r>
        <w:rPr>
          <w:rFonts w:hint="eastAsia" w:ascii="宋体" w:hAnsi="宋体" w:cs="Arial"/>
          <w:szCs w:val="21"/>
          <w:highlight w:val="none"/>
        </w:rPr>
        <w:t xml:space="preserve">基本目录：</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封面；</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开标一览表</w:t>
      </w:r>
      <w:r>
        <w:rPr>
          <w:rFonts w:ascii="宋体" w:hAnsi="宋体" w:cs="Arial"/>
          <w:szCs w:val="21"/>
          <w:highlight w:val="none"/>
        </w:rPr>
        <w:t xml:space="preserve">（格式见第三章）；</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公开分项报价</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ascii="宋体" w:hAnsi="宋体"/>
          <w:szCs w:val="21"/>
          <w:highlight w:val="none"/>
          <w:lang w:val="zh-CN"/>
        </w:rPr>
        <w:t xml:space="preserve">远程参与开标会议诚信承诺书</w:t>
      </w:r>
      <w:r>
        <w:rPr>
          <w:rFonts w:ascii="宋体" w:hAnsi="宋体" w:cs="Arial"/>
          <w:szCs w:val="21"/>
          <w:highlight w:val="none"/>
        </w:rPr>
        <w:t xml:space="preserve">（格式见第三章）</w:t>
      </w:r>
      <w:r>
        <w:rPr>
          <w:rFonts w:hint="eastAsia" w:ascii="宋体" w:hAnsi="宋体"/>
          <w:szCs w:val="21"/>
          <w:highlight w:val="none"/>
          <w:lang w:val="zh-CN"/>
        </w:rPr>
        <w:t xml:space="preserve">；</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法定代表人授权委托书及法人身份证明（如有授权）</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ascii="宋体" w:hAnsi="宋体" w:cs="Arial"/>
          <w:szCs w:val="21"/>
          <w:highlight w:val="none"/>
        </w:rPr>
      </w:r>
      <w:r/>
    </w:p>
    <w:p>
      <w:pPr>
        <w:pStyle w:val="922"/>
        <w:numPr>
          <w:ilvl w:val="1"/>
          <w:numId w:val="2"/>
        </w:numPr>
        <w:spacing w:line="360" w:lineRule="auto"/>
        <w:rPr>
          <w:rFonts w:ascii="宋体" w:hAnsi="宋体" w:cs="Arial"/>
          <w:szCs w:val="21"/>
          <w:highlight w:val="none"/>
        </w:rPr>
      </w:pPr>
      <w:r>
        <w:rPr>
          <w:rFonts w:hint="eastAsia" w:ascii="宋体" w:hAnsi="宋体" w:cs="Arial"/>
          <w:szCs w:val="21"/>
          <w:highlight w:val="none"/>
        </w:rPr>
        <w:t xml:space="preserve">资格条件：</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《中华人民共和国政府采购法》第二十二条规定；</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投标承诺函（格式见第三章）；</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投标人情况表（格式见第三章）；</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第一章投标邀请中采购人根据采购项目的特殊要求规定的特定条件证明文件。</w:t>
      </w:r>
      <w:r>
        <w:rPr>
          <w:rFonts w:ascii="宋体" w:hAnsi="宋体" w:cs="Arial"/>
          <w:szCs w:val="21"/>
          <w:highlight w:val="none"/>
        </w:rPr>
      </w:r>
      <w:r/>
    </w:p>
    <w:p>
      <w:pPr>
        <w:pStyle w:val="922"/>
        <w:numPr>
          <w:ilvl w:val="1"/>
          <w:numId w:val="2"/>
        </w:numPr>
        <w:spacing w:line="360" w:lineRule="auto"/>
        <w:rPr>
          <w:rFonts w:ascii="宋体" w:hAnsi="宋体" w:cs="Arial"/>
          <w:szCs w:val="21"/>
          <w:highlight w:val="none"/>
        </w:rPr>
      </w:pPr>
      <w:r>
        <w:rPr>
          <w:rFonts w:hint="eastAsia" w:ascii="宋体" w:hAnsi="宋体" w:cs="Arial"/>
          <w:szCs w:val="21"/>
          <w:highlight w:val="none"/>
        </w:rPr>
        <w:t xml:space="preserve">符合性条件</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投标文件声明函；</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商务偏离表、技术偏离表；</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其他格式材料</w:t>
      </w:r>
      <w:r>
        <w:rPr>
          <w:rFonts w:ascii="宋体" w:hAnsi="宋体" w:cs="Arial"/>
          <w:szCs w:val="21"/>
          <w:highlight w:val="none"/>
        </w:rPr>
      </w:r>
      <w:r/>
    </w:p>
    <w:p>
      <w:pPr>
        <w:pStyle w:val="922"/>
        <w:numPr>
          <w:ilvl w:val="1"/>
          <w:numId w:val="2"/>
        </w:numPr>
        <w:spacing w:line="360" w:lineRule="auto"/>
        <w:rPr>
          <w:rFonts w:ascii="宋体" w:hAnsi="宋体" w:cs="Arial"/>
          <w:szCs w:val="21"/>
          <w:highlight w:val="none"/>
        </w:rPr>
      </w:pPr>
      <w:r>
        <w:rPr>
          <w:rFonts w:hint="eastAsia" w:ascii="宋体" w:hAnsi="宋体" w:cs="Arial"/>
          <w:szCs w:val="21"/>
          <w:highlight w:val="none"/>
        </w:rPr>
        <w:t xml:space="preserve">综合评审评分项：</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评审所需的相关证明材料（技术方案、人员配置、业绩等）。</w:t>
      </w:r>
      <w:r>
        <w:rPr>
          <w:rFonts w:ascii="宋体" w:hAnsi="宋体" w:cs="Arial"/>
          <w:szCs w:val="21"/>
          <w:highlight w:val="none"/>
        </w:rPr>
      </w:r>
      <w:r/>
    </w:p>
    <w:p>
      <w:pPr>
        <w:pStyle w:val="922"/>
        <w:numPr>
          <w:ilvl w:val="1"/>
          <w:numId w:val="2"/>
        </w:numPr>
        <w:spacing w:line="360" w:lineRule="auto"/>
        <w:rPr>
          <w:rFonts w:ascii="宋体" w:hAnsi="宋体" w:cs="Arial"/>
          <w:szCs w:val="21"/>
          <w:highlight w:val="none"/>
        </w:rPr>
      </w:pPr>
      <w:r>
        <w:rPr>
          <w:rFonts w:hint="eastAsia" w:ascii="宋体" w:hAnsi="宋体" w:cs="Arial"/>
          <w:szCs w:val="21"/>
          <w:highlight w:val="none"/>
        </w:rPr>
        <w:t xml:space="preserve">价格折扣文件格式：</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提供《中小企业声明函》（如有）</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ascii="宋体" w:hAnsi="宋体" w:cs="Arial"/>
          <w:szCs w:val="21"/>
          <w:highlight w:val="none"/>
        </w:rPr>
        <w:t xml:space="preserve">残疾人福利性单位声明函</w:t>
      </w:r>
      <w:r>
        <w:rPr>
          <w:rFonts w:hint="eastAsia" w:ascii="宋体" w:hAnsi="宋体" w:cs="Arial"/>
          <w:szCs w:val="21"/>
          <w:highlight w:val="none"/>
        </w:rPr>
        <w:t xml:space="preserve">（如有）（</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ascii="宋体" w:hAnsi="宋体" w:cs="Arial"/>
          <w:szCs w:val="21"/>
          <w:highlight w:val="none"/>
        </w:rPr>
      </w:r>
      <w:r/>
    </w:p>
    <w:p>
      <w:pPr>
        <w:pStyle w:val="922"/>
        <w:numPr>
          <w:ilvl w:val="2"/>
          <w:numId w:val="2"/>
        </w:numPr>
        <w:spacing w:line="360" w:lineRule="auto"/>
        <w:rPr>
          <w:rFonts w:ascii="宋体" w:hAnsi="宋体" w:cs="Arial"/>
          <w:szCs w:val="21"/>
          <w:highlight w:val="none"/>
        </w:rPr>
      </w:pPr>
      <w:r>
        <w:rPr>
          <w:rFonts w:hint="eastAsia" w:ascii="宋体" w:hAnsi="宋体" w:cs="Arial"/>
          <w:szCs w:val="21"/>
          <w:highlight w:val="none"/>
        </w:rPr>
        <w:t xml:space="preserve">监狱企业证明文件（如有）。</w:t>
      </w:r>
      <w:r>
        <w:rPr>
          <w:rFonts w:ascii="宋体" w:hAnsi="宋体" w:cs="Arial"/>
          <w:szCs w:val="21"/>
          <w:highlight w:val="none"/>
        </w:rPr>
      </w:r>
      <w:r/>
    </w:p>
    <w:p>
      <w:pPr>
        <w:pStyle w:val="922"/>
        <w:ind w:firstLine="420"/>
        <w:spacing w:line="360" w:lineRule="auto"/>
        <w:rPr>
          <w:rFonts w:hint="eastAsia" w:ascii="宋体" w:hAnsi="宋体" w:cs="Arial"/>
          <w:szCs w:val="21"/>
          <w:highlight w:val="none"/>
        </w:rPr>
      </w:pPr>
      <w:r>
        <w:rPr>
          <w:rFonts w:hint="eastAsia" w:ascii="宋体" w:hAnsi="宋体" w:cs="Arial"/>
          <w:b/>
          <w:bCs/>
          <w:szCs w:val="21"/>
          <w:highlight w:val="none"/>
        </w:rPr>
        <w:t xml:space="preserve">以上“13.2-13.3”为资格性、符合性审查须提供的资料，投标人必须提供并加盖电子公章。否则，投标文件将被认定为未实质性响应。</w:t>
      </w:r>
      <w:r>
        <w:rPr>
          <w:rFonts w:hint="eastAsia" w:ascii="宋体" w:hAnsi="宋体" w:cs="Arial"/>
          <w:szCs w:val="21"/>
          <w:highlight w:val="none"/>
        </w:rPr>
        <w:t xml:space="preserve">投标人所提交的投标书（技术及相关文件部分）完整与否，将直接影响投标人的评分；</w:t>
      </w:r>
      <w:r>
        <w:rPr>
          <w:rFonts w:hint="eastAsia" w:ascii="宋体" w:hAnsi="宋体" w:cs="Arial"/>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投标文件编制说明</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电子投标文件按招标文件规定的格式制作，如果未按要求制作上传，可能导致投标无效。</w:t>
      </w:r>
      <w:r>
        <w:rPr>
          <w:rFonts w:ascii="宋体" w:hAnsi="宋体" w:cs="Arial"/>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开标一览表为在开标仪式上网上唱标的内容，要求按格式填写，统一规范，不得自行增减内容（格式见第三章）。</w:t>
      </w:r>
      <w:r>
        <w:rPr>
          <w:rFonts w:hint="eastAsia"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对本次投标的详细说明的编制</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对本次投标的详细说明由投标人视各自的情况自行编制，规格幅面应与正文一致，附于正文之后，与正文页码统一编目编码装订成册。</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投标报价</w:t>
      </w:r>
      <w:r>
        <w:rPr>
          <w:rFonts w:ascii="宋体" w:hAnsi="宋体" w:cs="Arial"/>
          <w:b/>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投标应以单价报价，包括但不限于本项目服务过程的劳务、食宿、差旅、资料汇编、管理、保险、利润、税金、政策性文件规定及合同包含的所有风险、责任等各项应有费用。</w:t>
      </w:r>
      <w:r>
        <w:rPr>
          <w:rFonts w:hint="eastAsia"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应对招标文件内所要采购的全部内容进行报价，只投其中部分内容者，则投标为无效标。但如果招标文件要求分包投标的，则投标人可以根据自己经营许可内容有选择地只投其中一个或几个或全部包，但各包应分别计算填写单价和总价。</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ascii="宋体" w:hAnsi="宋体" w:cs="Arial"/>
          <w:color w:val="000000"/>
          <w:szCs w:val="21"/>
          <w:highlight w:val="none"/>
        </w:rPr>
        <w:t xml:space="preserve">一项投标内容只允许一个报价，招标</w:t>
      </w:r>
      <w:r>
        <w:rPr>
          <w:rFonts w:hint="eastAsia" w:ascii="宋体" w:hAnsi="宋体" w:cs="Arial"/>
          <w:color w:val="000000"/>
          <w:szCs w:val="21"/>
          <w:highlight w:val="none"/>
        </w:rPr>
        <w:t xml:space="preserve">代理</w:t>
      </w:r>
      <w:r>
        <w:rPr>
          <w:rFonts w:ascii="宋体" w:hAnsi="宋体" w:cs="Arial"/>
          <w:color w:val="000000"/>
          <w:szCs w:val="21"/>
          <w:highlight w:val="none"/>
        </w:rPr>
        <w:t xml:space="preserve">人不接受任何有选择性的投标报价。</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投标文件报价中的单价和总价全部采用人民币表示，合同的主要条款另有规定的除外。</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供应商的任何错漏、优惠、竞争性报价不得作为减轻责任、减少服务、增加收费、降低质量的理由。</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最低报价不能作为中标的保证。</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投标文件的有效期</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ascii="宋体" w:hAnsi="宋体" w:cs="Arial"/>
          <w:b/>
          <w:color w:val="000000"/>
          <w:szCs w:val="21"/>
          <w:highlight w:val="none"/>
        </w:rPr>
        <w:t xml:space="preserve">本投标有效期从提交投标文件的截止之日起算后</w:t>
      </w:r>
      <w:r>
        <w:rPr>
          <w:rFonts w:hint="eastAsia" w:ascii="宋体" w:hAnsi="宋体" w:cs="Arial"/>
          <w:b/>
          <w:color w:val="000000"/>
          <w:szCs w:val="21"/>
          <w:highlight w:val="none"/>
        </w:rPr>
        <w:t xml:space="preserve">90</w:t>
      </w:r>
      <w:r>
        <w:rPr>
          <w:rFonts w:ascii="宋体" w:hAnsi="宋体" w:cs="Arial"/>
          <w:b/>
          <w:color w:val="000000"/>
          <w:szCs w:val="21"/>
          <w:highlight w:val="none"/>
        </w:rPr>
        <w:t xml:space="preserve">天</w:t>
      </w:r>
      <w:r>
        <w:rPr>
          <w:rFonts w:hint="eastAsia" w:ascii="宋体" w:hAnsi="宋体" w:cs="Arial"/>
          <w:b/>
          <w:color w:val="000000"/>
          <w:szCs w:val="21"/>
          <w:highlight w:val="none"/>
        </w:rPr>
        <w:t xml:space="preserve">，投标书应保持有效。有效期短于这个规定期限的投标，将被拒绝。</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Cs w:val="21"/>
          <w:highlight w:val="none"/>
        </w:rPr>
      </w:r>
      <w:r/>
    </w:p>
    <w:p>
      <w:pPr>
        <w:pStyle w:val="92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投标文件的提交</w:t>
      </w:r>
      <w:r>
        <w:rPr>
          <w:rFonts w:ascii="宋体" w:hAnsi="宋体" w:cs="Arial"/>
          <w:b/>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电子投标文件的提交请按</w:t>
      </w:r>
      <w:r>
        <w:rPr>
          <w:rFonts w:hint="eastAsia" w:ascii="宋体" w:hAnsi="宋体"/>
          <w:color w:val="000000"/>
          <w:szCs w:val="21"/>
          <w:highlight w:val="none"/>
        </w:rPr>
        <w:t xml:space="preserve">苏采云平台</w:t>
      </w:r>
      <w:r>
        <w:rPr>
          <w:rFonts w:hint="eastAsia" w:ascii="宋体" w:hAnsi="宋体" w:cs="Arial"/>
          <w:color w:val="000000"/>
          <w:szCs w:val="21"/>
          <w:highlight w:val="none"/>
        </w:rPr>
        <w:t xml:space="preserve">要求进行。</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投标截止时间</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电子投标文件必须按《投标邀请函》规定的网上投标截止时间前提交，以系统内上传后显示的上传文件确认单为准</w:t>
      </w:r>
      <w:r>
        <w:rPr>
          <w:rFonts w:ascii="宋体" w:hAnsi="宋体" w:cs="Arial"/>
          <w:color w:val="000000"/>
          <w:szCs w:val="21"/>
          <w:highlight w:val="none"/>
        </w:rPr>
        <w:t xml:space="preserve">。</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招标人推迟投标截止时间时，应以网上公布的形式，通知投标人，在这种情况下，招标人和投标人的权利和义务将受到新的截止期的约束。</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在投标截止时间以后上传的投标文件，招标人拒绝接收。</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投标文件的修改和撤回</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投标文件的修改应在网上投标截止时间前进行。</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开标前，投标人可以撤回投标。</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开标后投标人不得撤回投标。</w:t>
      </w:r>
      <w:r>
        <w:rPr>
          <w:rFonts w:ascii="宋体" w:hAnsi="宋体" w:cs="Arial"/>
          <w:color w:val="000000"/>
          <w:szCs w:val="21"/>
          <w:highlight w:val="none"/>
        </w:rPr>
      </w:r>
      <w:r/>
    </w:p>
    <w:p>
      <w:pPr>
        <w:pStyle w:val="92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开标和评标</w:t>
      </w:r>
      <w:r>
        <w:rPr>
          <w:rFonts w:ascii="宋体" w:hAnsi="宋体" w:cs="Arial"/>
          <w:b/>
          <w:color w:val="000000"/>
          <w:szCs w:val="21"/>
          <w:highlight w:val="none"/>
        </w:rPr>
      </w:r>
      <w:r/>
    </w:p>
    <w:p>
      <w:pPr>
        <w:pStyle w:val="922"/>
        <w:numPr>
          <w:ilvl w:val="0"/>
          <w:numId w:val="2"/>
        </w:numPr>
        <w:ind w:left="850"/>
        <w:spacing w:line="360" w:lineRule="auto"/>
        <w:rPr>
          <w:b/>
          <w:color w:val="000000"/>
          <w:szCs w:val="21"/>
          <w:highlight w:val="none"/>
        </w:rPr>
      </w:pPr>
      <w:r>
        <w:rPr>
          <w:b/>
          <w:color w:val="000000"/>
          <w:szCs w:val="21"/>
          <w:highlight w:val="none"/>
        </w:rPr>
        <w:t xml:space="preserve">开标</w:t>
      </w:r>
      <w:r>
        <w:rPr>
          <w:b/>
          <w:color w:val="000000"/>
          <w:szCs w:val="21"/>
          <w:highlight w:val="none"/>
        </w:rPr>
      </w:r>
      <w:r/>
    </w:p>
    <w:p>
      <w:pPr>
        <w:pStyle w:val="922"/>
        <w:numPr>
          <w:ilvl w:val="1"/>
          <w:numId w:val="2"/>
        </w:numPr>
        <w:ind w:left="0" w:firstLine="425"/>
        <w:spacing w:line="360" w:lineRule="auto"/>
        <w:rPr>
          <w:color w:val="000000"/>
          <w:szCs w:val="21"/>
          <w:highlight w:val="none"/>
        </w:rPr>
      </w:pPr>
      <w:r>
        <w:rPr>
          <w:color w:val="000000"/>
          <w:szCs w:val="21"/>
          <w:highlight w:val="none"/>
        </w:rPr>
        <w:t xml:space="preserve">招标代理人按《投标邀请函》规定的时间进行开标。开标仪式根据委托人授权由招标代理人主持。</w:t>
      </w:r>
      <w:r>
        <w:rPr>
          <w:color w:val="000000"/>
          <w:szCs w:val="21"/>
          <w:highlight w:val="none"/>
        </w:rPr>
      </w:r>
      <w:r/>
    </w:p>
    <w:p>
      <w:pPr>
        <w:pStyle w:val="922"/>
        <w:numPr>
          <w:ilvl w:val="1"/>
          <w:numId w:val="2"/>
        </w:numPr>
        <w:ind w:left="0" w:firstLine="425"/>
        <w:spacing w:line="360" w:lineRule="auto"/>
        <w:rPr>
          <w:color w:val="000000"/>
          <w:szCs w:val="21"/>
          <w:highlight w:val="none"/>
        </w:rPr>
      </w:pPr>
      <w:r>
        <w:rPr>
          <w:color w:val="000000"/>
          <w:szCs w:val="21"/>
          <w:highlight w:val="none"/>
        </w:rPr>
        <w:t xml:space="preserve">参加开标的投标人的法定代表人或被授权人应携带</w:t>
      </w:r>
      <w:r>
        <w:rPr>
          <w:rFonts w:hint="eastAsia"/>
          <w:color w:val="000000"/>
          <w:szCs w:val="21"/>
          <w:highlight w:val="none"/>
        </w:rPr>
        <w:t xml:space="preserve">苏采云</w:t>
      </w:r>
      <w:r>
        <w:rPr>
          <w:color w:val="000000"/>
          <w:szCs w:val="21"/>
          <w:highlight w:val="none"/>
        </w:rPr>
        <w:t xml:space="preserve">CA进行远程</w:t>
      </w:r>
      <w:r>
        <w:rPr>
          <w:rFonts w:hint="eastAsia"/>
          <w:color w:val="000000"/>
          <w:szCs w:val="21"/>
          <w:highlight w:val="none"/>
        </w:rPr>
        <w:t xml:space="preserve">开标</w:t>
      </w:r>
      <w:r>
        <w:rPr>
          <w:color w:val="000000"/>
          <w:szCs w:val="21"/>
          <w:highlight w:val="none"/>
        </w:rPr>
        <w:t xml:space="preserve">，</w:t>
      </w:r>
      <w:r>
        <w:rPr>
          <w:rFonts w:hint="eastAsia"/>
          <w:color w:val="000000"/>
          <w:szCs w:val="21"/>
          <w:highlight w:val="none"/>
        </w:rPr>
        <w:t xml:space="preserve">超时</w:t>
      </w:r>
      <w:r>
        <w:rPr>
          <w:color w:val="000000"/>
          <w:szCs w:val="21"/>
          <w:highlight w:val="none"/>
        </w:rPr>
        <w:t xml:space="preserve">的</w:t>
      </w:r>
      <w:r>
        <w:rPr>
          <w:rFonts w:hint="eastAsia"/>
          <w:color w:val="000000"/>
          <w:szCs w:val="21"/>
          <w:highlight w:val="none"/>
        </w:rPr>
        <w:t xml:space="preserve">，</w:t>
      </w:r>
      <w:r>
        <w:rPr>
          <w:color w:val="000000"/>
          <w:szCs w:val="21"/>
          <w:highlight w:val="none"/>
        </w:rPr>
        <w:t xml:space="preserve">视为无效投标。</w:t>
      </w:r>
      <w:r>
        <w:rPr>
          <w:color w:val="000000"/>
          <w:szCs w:val="21"/>
          <w:highlight w:val="none"/>
        </w:rPr>
      </w:r>
      <w:r/>
    </w:p>
    <w:p>
      <w:pPr>
        <w:pStyle w:val="922"/>
        <w:numPr>
          <w:ilvl w:val="1"/>
          <w:numId w:val="2"/>
        </w:numPr>
        <w:ind w:left="0" w:firstLine="425"/>
        <w:spacing w:line="360" w:lineRule="auto"/>
        <w:rPr>
          <w:rFonts w:hint="eastAsia"/>
          <w:color w:val="000000"/>
          <w:szCs w:val="21"/>
          <w:highlight w:val="none"/>
        </w:rPr>
      </w:pPr>
      <w:r>
        <w:rPr>
          <w:rFonts w:hint="eastAsia"/>
          <w:color w:val="000000"/>
          <w:szCs w:val="21"/>
          <w:highlight w:val="none"/>
        </w:rPr>
        <w:t xml:space="preserve">异常低价投标审查</w:t>
      </w:r>
      <w:r>
        <w:rPr>
          <w:rFonts w:hint="eastAsia"/>
          <w:color w:val="000000"/>
          <w:szCs w:val="21"/>
          <w:highlight w:val="none"/>
        </w:rPr>
      </w:r>
      <w:r/>
    </w:p>
    <w:p>
      <w:pPr>
        <w:pStyle w:val="922"/>
        <w:ind w:firstLine="420"/>
        <w:spacing w:line="360" w:lineRule="auto"/>
        <w:rPr>
          <w:rFonts w:hint="eastAsia" w:ascii="宋体" w:hAnsi="宋体"/>
          <w:highlight w:val="none"/>
        </w:rPr>
      </w:pPr>
      <w:r>
        <w:rPr>
          <w:rFonts w:hint="eastAsia" w:ascii="宋体" w:hAnsi="宋体"/>
          <w:highlight w:val="none"/>
        </w:rPr>
        <w:t xml:space="preserve">评审过程中出现下列情形之一的，评审委员会应当启动异常低价投标审查程序：</w:t>
      </w:r>
      <w:r>
        <w:rPr>
          <w:rFonts w:hint="eastAsia" w:ascii="宋体" w:hAnsi="宋体"/>
          <w:highlight w:val="none"/>
        </w:rPr>
      </w:r>
      <w:r/>
    </w:p>
    <w:p>
      <w:pPr>
        <w:pStyle w:val="922"/>
        <w:ind w:firstLine="420"/>
        <w:spacing w:line="360" w:lineRule="auto"/>
        <w:rPr>
          <w:rFonts w:hint="eastAsia" w:ascii="宋体" w:hAnsi="宋体"/>
          <w:highlight w:val="none"/>
        </w:rPr>
      </w:pPr>
      <w:r>
        <w:rPr>
          <w:rFonts w:cs="Calibri"/>
          <w:highlight w:val="none"/>
        </w:rPr>
        <w:t xml:space="preserve">①</w:t>
      </w:r>
      <w:r>
        <w:rPr>
          <w:rFonts w:hint="eastAsia" w:ascii="宋体" w:hAnsi="宋体"/>
          <w:highlight w:val="none"/>
        </w:rPr>
        <w:t xml:space="preserve">投标报价低于采购项目预算50%的，即投标报价</w:t>
      </w:r>
      <w:bookmarkStart w:id="15" w:name="OLE_LINK1"/>
      <w:r>
        <w:rPr>
          <w:rFonts w:hint="eastAsia" w:ascii="宋体" w:hAnsi="宋体"/>
          <w:highlight w:val="none"/>
        </w:rPr>
        <w:t xml:space="preserve">＜</w:t>
      </w:r>
      <w:bookmarkEnd w:id="15"/>
      <w:r>
        <w:rPr>
          <w:rFonts w:hint="eastAsia" w:ascii="宋体" w:hAnsi="宋体"/>
          <w:highlight w:val="none"/>
        </w:rPr>
        <w:t xml:space="preserve">采购项目预算×50%；</w:t>
      </w:r>
      <w:r>
        <w:rPr>
          <w:rFonts w:hint="eastAsia" w:ascii="宋体" w:hAnsi="宋体"/>
          <w:highlight w:val="none"/>
        </w:rPr>
      </w:r>
      <w:r/>
    </w:p>
    <w:p>
      <w:pPr>
        <w:pStyle w:val="922"/>
        <w:ind w:firstLine="420"/>
        <w:spacing w:line="360" w:lineRule="auto"/>
        <w:rPr>
          <w:rFonts w:hint="eastAsia" w:ascii="宋体" w:hAnsi="宋体"/>
          <w:highlight w:val="none"/>
        </w:rPr>
      </w:pPr>
      <w:r>
        <w:rPr>
          <w:rFonts w:cs="Calibri"/>
          <w:highlight w:val="none"/>
        </w:rPr>
        <w:t xml:space="preserve">②</w:t>
      </w:r>
      <w:r>
        <w:rPr>
          <w:rFonts w:hint="eastAsia" w:ascii="宋体" w:hAnsi="宋体"/>
          <w:highlight w:val="none"/>
        </w:rPr>
        <w:t xml:space="preserve">投标报价低于采购项目最高限价45%的，即投标报价＜采购项目最高限价×45%；</w:t>
      </w:r>
      <w:r>
        <w:rPr>
          <w:rFonts w:hint="eastAsia" w:ascii="宋体" w:hAnsi="宋体"/>
          <w:highlight w:val="none"/>
        </w:rPr>
      </w:r>
      <w:r/>
    </w:p>
    <w:p>
      <w:pPr>
        <w:pStyle w:val="922"/>
        <w:ind w:firstLine="420"/>
        <w:spacing w:line="360" w:lineRule="auto"/>
        <w:rPr>
          <w:rFonts w:hint="eastAsia" w:ascii="宋体" w:hAnsi="宋体"/>
          <w:highlight w:val="none"/>
        </w:rPr>
      </w:pPr>
      <w:r>
        <w:rPr>
          <w:rFonts w:cs="Calibri"/>
          <w:highlight w:val="none"/>
        </w:rPr>
        <w:t xml:space="preserve">③</w:t>
      </w:r>
      <w:r>
        <w:rPr>
          <w:rFonts w:hint="eastAsia" w:ascii="宋体" w:hAnsi="宋体"/>
          <w:highlight w:val="none"/>
        </w:rPr>
        <w:t xml:space="preserve">评审委员会认定的供应商报价过低、有可能影响产品质量或者不能诚信履约的其他情形。</w:t>
      </w:r>
      <w:r>
        <w:rPr>
          <w:rFonts w:hint="eastAsia" w:ascii="宋体" w:hAnsi="宋体"/>
          <w:highlight w:val="none"/>
        </w:rPr>
      </w:r>
      <w:r/>
    </w:p>
    <w:p>
      <w:pPr>
        <w:pStyle w:val="922"/>
        <w:numPr>
          <w:ilvl w:val="1"/>
          <w:numId w:val="2"/>
        </w:numPr>
        <w:ind w:left="0" w:firstLine="425"/>
        <w:spacing w:line="360" w:lineRule="auto"/>
        <w:rPr>
          <w:rFonts w:hint="eastAsia"/>
          <w:color w:val="000000"/>
          <w:szCs w:val="21"/>
          <w:highlight w:val="none"/>
        </w:rPr>
      </w:pPr>
      <w:r>
        <w:rPr>
          <w:rFonts w:hint="eastAsia"/>
          <w:color w:val="000000"/>
          <w:szCs w:val="21"/>
          <w:highlight w:val="none"/>
        </w:rPr>
        <w:t xml:space="preserve">无效投标条款</w:t>
      </w:r>
      <w:r>
        <w:rPr>
          <w:rFonts w:hint="eastAsia"/>
          <w:color w:val="000000"/>
          <w:szCs w:val="21"/>
          <w:highlight w:val="none"/>
        </w:rPr>
      </w:r>
      <w:r/>
    </w:p>
    <w:p>
      <w:pPr>
        <w:pStyle w:val="922"/>
        <w:numPr>
          <w:ilvl w:val="2"/>
          <w:numId w:val="2"/>
        </w:numPr>
        <w:ind w:left="426" w:firstLine="0"/>
        <w:spacing w:line="360" w:lineRule="auto"/>
        <w:rPr>
          <w:rFonts w:hint="eastAsia"/>
          <w:color w:val="000000"/>
          <w:szCs w:val="21"/>
          <w:highlight w:val="none"/>
        </w:rPr>
      </w:pPr>
      <w:r>
        <w:rPr>
          <w:rFonts w:hint="eastAsia"/>
          <w:color w:val="000000"/>
          <w:szCs w:val="21"/>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color w:val="000000"/>
          <w:szCs w:val="21"/>
          <w:highlight w:val="none"/>
        </w:rPr>
      </w:r>
      <w:r/>
    </w:p>
    <w:p>
      <w:pPr>
        <w:pStyle w:val="922"/>
        <w:numPr>
          <w:ilvl w:val="2"/>
          <w:numId w:val="2"/>
        </w:numPr>
        <w:ind w:left="426" w:firstLine="0"/>
        <w:spacing w:line="360" w:lineRule="auto"/>
        <w:rPr>
          <w:rFonts w:hint="eastAsia"/>
          <w:color w:val="000000"/>
          <w:szCs w:val="21"/>
          <w:highlight w:val="none"/>
        </w:rPr>
      </w:pPr>
      <w:r>
        <w:rPr>
          <w:rFonts w:hint="eastAsia"/>
          <w:color w:val="000000"/>
          <w:szCs w:val="21"/>
          <w:highlight w:val="none"/>
        </w:rPr>
        <w:t xml:space="preserve">投标人存在下列情况之一的，无效投标：</w:t>
      </w:r>
      <w:r>
        <w:rPr>
          <w:rFonts w:hint="eastAsia"/>
          <w:color w:val="000000"/>
          <w:szCs w:val="21"/>
          <w:highlight w:val="none"/>
        </w:rPr>
      </w:r>
      <w:r/>
    </w:p>
    <w:p>
      <w:pPr>
        <w:pStyle w:val="922"/>
        <w:ind w:firstLine="420"/>
        <w:spacing w:line="360" w:lineRule="auto"/>
        <w:rPr>
          <w:rFonts w:hint="eastAsia" w:ascii="宋体" w:hAnsi="宋体"/>
          <w:color w:val="000000"/>
          <w:szCs w:val="21"/>
          <w:highlight w:val="none"/>
        </w:rPr>
      </w:pPr>
      <w:r>
        <w:rPr>
          <w:rFonts w:cs="Calibri"/>
          <w:color w:val="000000"/>
          <w:szCs w:val="21"/>
          <w:highlight w:val="none"/>
        </w:rPr>
        <w:t xml:space="preserve">①</w:t>
      </w:r>
      <w:r>
        <w:rPr>
          <w:rFonts w:hint="eastAsia" w:ascii="宋体" w:hAnsi="宋体"/>
          <w:color w:val="000000"/>
          <w:szCs w:val="21"/>
          <w:highlight w:val="none"/>
        </w:rPr>
        <w:t xml:space="preserve">投标文件未按招标文件要求签署、盖章的；</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cs="Calibri"/>
          <w:color w:val="000000"/>
          <w:szCs w:val="21"/>
          <w:highlight w:val="none"/>
        </w:rPr>
        <w:t xml:space="preserve">②</w:t>
      </w:r>
      <w:r>
        <w:rPr>
          <w:rFonts w:hint="eastAsia" w:ascii="宋体" w:hAnsi="宋体"/>
          <w:color w:val="000000"/>
          <w:szCs w:val="21"/>
          <w:highlight w:val="none"/>
        </w:rPr>
        <w:t xml:space="preserve">不具备招标文件中规定的资格要求的；</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cs="Calibri"/>
          <w:color w:val="000000"/>
          <w:szCs w:val="21"/>
          <w:highlight w:val="none"/>
        </w:rPr>
        <w:t xml:space="preserve">③</w:t>
      </w:r>
      <w:r>
        <w:rPr>
          <w:rFonts w:hint="eastAsia" w:ascii="宋体" w:hAnsi="宋体"/>
          <w:color w:val="000000"/>
          <w:szCs w:val="21"/>
          <w:highlight w:val="none"/>
        </w:rPr>
        <w:t xml:space="preserve">报价超过招标文件中规定的预算金额或者最高限价的；</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④</w:t>
      </w:r>
      <w:r>
        <w:rPr>
          <w:rFonts w:hint="eastAsia" w:ascii="宋体" w:hAnsi="宋体"/>
          <w:color w:val="000000"/>
          <w:szCs w:val="21"/>
          <w:highlight w:val="none"/>
        </w:rPr>
        <w:t xml:space="preserve">投标文件中含有采购人不能接受的附加条件的；</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⑤</w:t>
      </w:r>
      <w:r>
        <w:rPr>
          <w:rFonts w:hint="eastAsia" w:ascii="宋体" w:hAnsi="宋体"/>
          <w:color w:val="000000"/>
          <w:szCs w:val="21"/>
          <w:highlight w:val="none"/>
        </w:rPr>
        <w:t xml:space="preserve">投标文件不能满足招标文件的实质性要求的；</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⑥</w:t>
      </w:r>
      <w:r>
        <w:rPr>
          <w:rFonts w:hint="eastAsia" w:ascii="宋体" w:hAnsi="宋体"/>
          <w:color w:val="000000"/>
          <w:szCs w:val="21"/>
          <w:highlight w:val="none"/>
        </w:rPr>
        <w:t xml:space="preserve">供应商查询中，不同供应商上传投标文件所使用的电脑的MAC地址和标书制作工具客户端标识码均一致的（如发现违法违规行为，将依法追究其法律责任）；</w:t>
      </w:r>
      <w:r>
        <w:rPr>
          <w:rFonts w:hint="eastAsia" w:ascii="宋体" w:hAnsi="宋体"/>
          <w:color w:val="000000"/>
          <w:szCs w:val="21"/>
          <w:highlight w:val="none"/>
        </w:rPr>
      </w:r>
      <w:r/>
    </w:p>
    <w:p>
      <w:pPr>
        <w:pStyle w:val="922"/>
        <w:ind w:left="426"/>
        <w:spacing w:line="360" w:lineRule="auto"/>
        <w:rPr>
          <w:color w:val="000000"/>
          <w:szCs w:val="21"/>
          <w:highlight w:val="none"/>
        </w:rPr>
      </w:pPr>
      <w:r>
        <w:rPr>
          <w:rFonts w:hint="eastAsia" w:ascii="宋体" w:hAnsi="宋体" w:cs="宋体"/>
          <w:color w:val="000000"/>
          <w:szCs w:val="21"/>
          <w:highlight w:val="none"/>
        </w:rPr>
        <w:t xml:space="preserve">⑦</w:t>
      </w:r>
      <w:r>
        <w:rPr>
          <w:rFonts w:hint="eastAsia" w:ascii="宋体" w:hAnsi="宋体"/>
          <w:color w:val="000000"/>
          <w:szCs w:val="21"/>
          <w:highlight w:val="none"/>
        </w:rPr>
        <w:t xml:space="preserve">法律、法规和招标文件规定的其他无效情形。</w:t>
      </w:r>
      <w:r>
        <w:rPr>
          <w:color w:val="000000"/>
          <w:szCs w:val="21"/>
          <w:highlight w:val="none"/>
        </w:rPr>
      </w:r>
      <w:r/>
    </w:p>
    <w:p>
      <w:pPr>
        <w:pStyle w:val="922"/>
        <w:numPr>
          <w:ilvl w:val="0"/>
          <w:numId w:val="2"/>
        </w:numPr>
        <w:ind w:left="850"/>
        <w:spacing w:line="360" w:lineRule="auto"/>
        <w:rPr>
          <w:b/>
          <w:color w:val="000000"/>
          <w:szCs w:val="21"/>
          <w:highlight w:val="none"/>
        </w:rPr>
      </w:pPr>
      <w:r>
        <w:rPr>
          <w:b/>
          <w:color w:val="000000"/>
          <w:szCs w:val="21"/>
          <w:highlight w:val="none"/>
        </w:rPr>
        <w:t xml:space="preserve">资格审查、信用查询</w:t>
      </w:r>
      <w:r>
        <w:rPr>
          <w:b/>
          <w:color w:val="000000"/>
          <w:szCs w:val="21"/>
          <w:highlight w:val="none"/>
        </w:rPr>
      </w:r>
      <w:r/>
    </w:p>
    <w:p>
      <w:pPr>
        <w:pStyle w:val="922"/>
        <w:numPr>
          <w:ilvl w:val="1"/>
          <w:numId w:val="2"/>
        </w:numPr>
        <w:ind w:left="0" w:firstLine="425"/>
        <w:spacing w:line="360" w:lineRule="auto"/>
        <w:rPr>
          <w:b/>
          <w:color w:val="000000"/>
          <w:szCs w:val="21"/>
          <w:highlight w:val="none"/>
        </w:rPr>
      </w:pPr>
      <w:r>
        <w:rPr>
          <w:b/>
          <w:color w:val="000000"/>
          <w:szCs w:val="21"/>
          <w:highlight w:val="none"/>
        </w:rPr>
        <w:t xml:space="preserve">公开招标采购项目开标结束后，采购人或者招标代理人应当依法对投标人的资格进行审查,未通过资格审查的视为无效投标。</w:t>
      </w:r>
      <w:r>
        <w:rPr>
          <w:b/>
          <w:color w:val="000000"/>
          <w:szCs w:val="21"/>
          <w:highlight w:val="none"/>
        </w:rPr>
      </w:r>
      <w:r/>
    </w:p>
    <w:p>
      <w:pPr>
        <w:pStyle w:val="922"/>
        <w:numPr>
          <w:ilvl w:val="1"/>
          <w:numId w:val="2"/>
        </w:numPr>
        <w:ind w:left="0" w:firstLine="425"/>
        <w:spacing w:line="360" w:lineRule="auto"/>
        <w:rPr>
          <w:b/>
          <w:color w:val="000000"/>
          <w:szCs w:val="21"/>
          <w:highlight w:val="none"/>
        </w:rPr>
      </w:pPr>
      <w:r>
        <w:rPr>
          <w:b/>
          <w:color w:val="000000"/>
          <w:szCs w:val="21"/>
          <w:highlight w:val="none"/>
        </w:rPr>
        <w:t xml:space="preserve">投标人根据资格要求提供相应资料供资格审查（具体要求详见第一章投标邀请）。</w:t>
      </w:r>
      <w:r>
        <w:rPr>
          <w:b/>
          <w:color w:val="000000"/>
          <w:szCs w:val="21"/>
          <w:highlight w:val="none"/>
        </w:rPr>
      </w:r>
      <w:r/>
    </w:p>
    <w:p>
      <w:pPr>
        <w:pStyle w:val="922"/>
        <w:numPr>
          <w:ilvl w:val="1"/>
          <w:numId w:val="2"/>
        </w:numPr>
        <w:ind w:left="0" w:firstLine="425"/>
        <w:spacing w:line="360" w:lineRule="auto"/>
        <w:rPr>
          <w:b/>
          <w:color w:val="000000"/>
          <w:szCs w:val="21"/>
          <w:highlight w:val="none"/>
        </w:rPr>
      </w:pPr>
      <w:r>
        <w:rPr>
          <w:b/>
          <w:color w:val="000000"/>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b/>
          <w:color w:val="000000"/>
          <w:szCs w:val="21"/>
          <w:highlight w:val="none"/>
        </w:rPr>
      </w:r>
      <w:r/>
    </w:p>
    <w:p>
      <w:pPr>
        <w:pStyle w:val="922"/>
        <w:numPr>
          <w:ilvl w:val="2"/>
          <w:numId w:val="2"/>
        </w:numPr>
        <w:ind w:left="426" w:firstLine="0"/>
        <w:spacing w:line="360" w:lineRule="auto"/>
        <w:rPr>
          <w:color w:val="000000"/>
          <w:szCs w:val="21"/>
          <w:highlight w:val="none"/>
        </w:rPr>
      </w:pPr>
      <w:r>
        <w:rPr>
          <w:color w:val="000000"/>
          <w:szCs w:val="21"/>
          <w:highlight w:val="none"/>
        </w:rPr>
        <w:t xml:space="preserve">查询时间：进入评审环节前。</w:t>
      </w:r>
      <w:r>
        <w:rPr>
          <w:color w:val="000000"/>
          <w:szCs w:val="21"/>
          <w:highlight w:val="none"/>
        </w:rPr>
      </w:r>
      <w:r/>
    </w:p>
    <w:p>
      <w:pPr>
        <w:pStyle w:val="922"/>
        <w:numPr>
          <w:ilvl w:val="2"/>
          <w:numId w:val="2"/>
        </w:numPr>
        <w:ind w:left="426" w:firstLine="0"/>
        <w:spacing w:line="360" w:lineRule="auto"/>
        <w:rPr>
          <w:color w:val="000000"/>
          <w:szCs w:val="21"/>
          <w:highlight w:val="none"/>
        </w:rPr>
      </w:pPr>
      <w:r>
        <w:rPr>
          <w:color w:val="000000"/>
          <w:szCs w:val="21"/>
          <w:highlight w:val="none"/>
        </w:rPr>
        <w:t xml:space="preserve">查询证据留存方式：查询的信用报告，由评标委员会进行认定。</w:t>
      </w:r>
      <w:r>
        <w:rPr>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评标委员会或评标小组</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szCs w:val="21"/>
          <w:highlight w:val="none"/>
        </w:rPr>
        <w:t xml:space="preserve">评标委员会或评标小组（以下简称评标委员会）的评标工作由招标采购单位负责组织，具体评标事务由评标委员会负责，并独立履行法律、法规规定的职责。</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评标委员会或评标小组负责具体的评标事务，并独立履行以下职责：</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审查投标文件是否符合招标文件的要求，并作出评价。</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可以要求投标供应商对投标文件有关事项作出解释或澄清。</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推荐中标候选供应商名单，或者受招标人委托按照事先确定的办法直接确定中标人。</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向招标采购人或者有关部门报告非法干预评标工作的行为。</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评标委员会成员应当履行下列义务：</w:t>
      </w:r>
      <w:r>
        <w:rPr>
          <w:rFonts w:ascii="宋体" w:hAnsi="宋体" w:cs="Arial"/>
          <w:b/>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遵纪守法，客观、公正、廉洁地履行职责。</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按照招标文件规定的评标办法和评标标准进行评标，对评审意见承担个人责任。</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对评标过程和结果，以及投标人的商业秘密保密。</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参与评标报告的起草。</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配合财政部门的投诉处理工作。</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配合招标采购人答复投标供应商提出的质疑。</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评标内容的保密</w:t>
      </w:r>
      <w:r>
        <w:rPr>
          <w:rFonts w:ascii="宋体" w:hAnsi="宋体" w:cs="Arial"/>
          <w:b/>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公开开标后，直到授予中标单位合同为止，凡属于审查、澄清、评价和比较投标的所有资料，有关授予合同的信息都不应向投标人或与评标无关的其他人泄露。</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在投标文件的审查、澄清、评价和比较以及授予合同的过程中，投标人对招标人和评标委员会成员施加影响的任何行为，都将取消其投标资格。</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在评标期间，招标人将通过指定联络人与投标人进行联系。</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评标委员会不向落标人解释原因。</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对投标人及投标文件的审核</w:t>
      </w:r>
      <w:r>
        <w:rPr>
          <w:rFonts w:ascii="宋体" w:hAnsi="宋体" w:cs="Arial"/>
          <w:b/>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采购人或者招标代理人资格证明文件要求进行投标人资格审查，如缺少内容，视为无效投标；</w:t>
      </w:r>
      <w:r>
        <w:rPr>
          <w:rFonts w:hint="eastAsia"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对价格的计算错误按下述原则修正：</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如果以文字表示的数据与数字表示的有差别，应以文字为准修正数字。</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对不同文字文本投标文件的解释发生异议的，以中文文本为准。</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投标人不同意以上修正，则其投标为无效投标。</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评标委员会对投标文件的判定，只依据投标内容本身，不依据开标后的任何外来证明。</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下列投标文件为无效投标：</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与招标文件有重大偏离。</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投标人的报价是选择性的。</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投标人的报价只报了部分内容。</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投标报价超过预算的。</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不具备招标文件中规定的资格要求。</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不同供应商的投标文件由同一单位或者个人编制。</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不同供应商委托同一单位或者个人办理投标事宜。</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不同供应商的投标文件载明的项目管理成员为同一人。</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不同供应商的投标文件异常一致。</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不同供应商的投标文件相互混装。</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不同供应商的法定代表人或委托代理人有夫妻、直系血亲关系的。</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不同供应商的负责人为同一人或者存在控股、管理关系的。</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服务承诺和付款条件未响应招标要求的；</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不符合法律、法规和招标文件规定的其他实质性要求的。</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评标委员会认定的其它为无效投标的事项。</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投标的澄清</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必要时招标代理人可要求就澄清的问题作书面回答，该书面回答应有投标人的法定代表人或被授权人签署，并将作为投标内容的一部分。</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投标人对投标文件的澄清不得改变投标的价格及实质性内容。</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废标</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在招标过程中，出现下列情况之一的，应予废标：</w:t>
      </w:r>
      <w:r>
        <w:rPr>
          <w:rFonts w:ascii="宋体" w:hAnsi="宋体" w:cs="Arial"/>
          <w:color w:val="000000"/>
          <w:szCs w:val="21"/>
          <w:highlight w:val="none"/>
        </w:rPr>
      </w:r>
      <w:r/>
    </w:p>
    <w:p>
      <w:pPr>
        <w:pStyle w:val="922"/>
        <w:numPr>
          <w:ilvl w:val="2"/>
          <w:numId w:val="2"/>
        </w:numPr>
        <w:ind w:left="426" w:firstLine="0"/>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进入每个包评审的实质性响应且具有得标权（已在前期各包评审中获得了采购文件规定的得标上限数的供应商，不再具有该包的得标权）的供应商少于3家的；</w:t>
      </w:r>
      <w:r>
        <w:rPr>
          <w:rFonts w:hint="eastAsia" w:ascii="宋体" w:hAnsi="宋体" w:cs="Arial"/>
          <w:b/>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出现影响采购公正的违法、违规行为的；</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投标人的报价均超过了采购预算，采购方不能支付的；</w:t>
      </w:r>
      <w:r>
        <w:rPr>
          <w:rFonts w:ascii="宋体" w:hAnsi="宋体" w:cs="Arial"/>
          <w:color w:val="000000"/>
          <w:szCs w:val="21"/>
          <w:highlight w:val="none"/>
        </w:rPr>
      </w:r>
      <w:r/>
    </w:p>
    <w:p>
      <w:pPr>
        <w:pStyle w:val="92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因重大变故，采购任务取消的。</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废标后，招标人将把废标的理由通知所有投标人 。</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投标文件的评价和比较</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评标委员会将仅对按照本须知有关规定确定为实质上响应招标文件要求的投标文件进行评价和比较。</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评价和比较采用综合评分法，评标委员会严格按照招标文件的要求、条件、评分标准，对投标人所作的实质性响应内容进行比较。</w:t>
      </w:r>
      <w:r>
        <w:rPr>
          <w:rFonts w:ascii="宋体" w:hAnsi="宋体" w:cs="Arial"/>
          <w:color w:val="000000"/>
          <w:szCs w:val="21"/>
          <w:highlight w:val="none"/>
        </w:rPr>
      </w:r>
      <w:r/>
    </w:p>
    <w:p>
      <w:pPr>
        <w:pStyle w:val="92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授予合同</w:t>
      </w:r>
      <w:r>
        <w:rPr>
          <w:rFonts w:ascii="宋体" w:hAnsi="宋体" w:cs="Arial"/>
          <w:b/>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中标单位的确认</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合同授予标准</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确定为中标的投标人必须具有实施本合同的能力和资源。</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中标通知书</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中标通知书将成为合同的组成部分。</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合同的签订</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ascii="宋体" w:hAnsi="宋体" w:cs="Arial"/>
          <w:color w:val="000000"/>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ascii="宋体" w:hAnsi="宋体" w:cs="Arial"/>
          <w:color w:val="000000"/>
          <w:szCs w:val="21"/>
          <w:highlight w:val="none"/>
        </w:rPr>
        <w:t xml:space="preserve">采购人不得向中标人提出任何不合理的要求作为签订合同的条件。</w:t>
      </w:r>
      <w:r>
        <w:rPr>
          <w:rFonts w:ascii="宋体" w:hAnsi="宋体" w:cs="Arial"/>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中标单位应按中标通知书中规定的时间和地点，由法定代表人或授权委托人与甲方代表签订合同。否则按放弃中标权处理。</w:t>
      </w:r>
      <w:r>
        <w:rPr>
          <w:rFonts w:hint="eastAsia"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履约保证金（如有）</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中标的投标人应按《投标邀请函》中的规定提交履约保证金。</w:t>
      </w:r>
      <w:r>
        <w:rPr>
          <w:rFonts w:ascii="宋体" w:hAnsi="宋体" w:cs="Arial"/>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履约保证金（无息）将在乙方履行完合同并经验收合格后，凭乙方的收款收据在五个工作日内退返乙方。</w:t>
      </w:r>
      <w:r>
        <w:rPr>
          <w:rFonts w:hint="eastAsia" w:ascii="宋体" w:hAnsi="宋体" w:cs="Arial"/>
          <w:color w:val="000000"/>
          <w:szCs w:val="21"/>
          <w:highlight w:val="none"/>
        </w:rPr>
      </w:r>
      <w:r/>
    </w:p>
    <w:p>
      <w:pPr>
        <w:pStyle w:val="92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诚实信用</w:t>
      </w:r>
      <w:r>
        <w:rPr>
          <w:rFonts w:ascii="宋体" w:hAnsi="宋体" w:cs="Arial"/>
          <w:b/>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诚实信用</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供应商之间不得相互串通投标报价，不得妨碍其他供应商的公平竞争，不得损害采购人和其他供应商的合法权益。</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供应商不得虚假承诺，否则，按照提供虚假材料谋取中标处理。</w:t>
      </w:r>
      <w:r>
        <w:rPr>
          <w:rFonts w:ascii="宋体" w:hAnsi="宋体" w:cs="Arial"/>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Cs w:val="21"/>
          <w:highlight w:val="none"/>
        </w:rPr>
      </w:r>
      <w:r/>
    </w:p>
    <w:p>
      <w:pPr>
        <w:pStyle w:val="92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供应商不得向工作人员、评标委员会成员行贿或者采取其他不正当手段谋取中标。经查实供应商有此行为的，</w:t>
      </w:r>
      <w:r>
        <w:rPr>
          <w:rFonts w:ascii="宋体" w:hAnsi="宋体" w:cs="Arial"/>
          <w:color w:val="000000"/>
          <w:szCs w:val="21"/>
          <w:highlight w:val="none"/>
        </w:rPr>
        <w:t xml:space="preserve">政府采购管理部门将供应商列入不良行为记录名单，按照《政府采购法》有关规定处理。</w:t>
      </w:r>
      <w:r>
        <w:rPr>
          <w:rFonts w:hint="eastAsia" w:ascii="宋体" w:hAnsi="宋体" w:cs="Arial"/>
          <w:color w:val="000000"/>
          <w:szCs w:val="21"/>
          <w:highlight w:val="none"/>
        </w:rPr>
      </w:r>
      <w:r/>
    </w:p>
    <w:p>
      <w:pPr>
        <w:pStyle w:val="922"/>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Cs w:val="21"/>
          <w:highlight w:val="none"/>
        </w:rPr>
      </w:r>
      <w:r/>
    </w:p>
    <w:p>
      <w:pPr>
        <w:pStyle w:val="92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其他事项</w:t>
      </w:r>
      <w:r>
        <w:rPr>
          <w:rFonts w:ascii="宋体" w:hAnsi="宋体" w:cs="Arial"/>
          <w:b/>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中标服务费</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中标单位须按规定支付中标服务费，该费用应在合同签订后三天内付清。</w:t>
      </w:r>
      <w:r>
        <w:rPr>
          <w:rFonts w:ascii="宋体" w:hAnsi="宋体" w:cs="Arial"/>
          <w:color w:val="000000"/>
          <w:szCs w:val="21"/>
          <w:highlight w:val="none"/>
        </w:rPr>
      </w:r>
      <w:r/>
    </w:p>
    <w:p>
      <w:pPr>
        <w:pStyle w:val="922"/>
        <w:numPr>
          <w:ilvl w:val="1"/>
          <w:numId w:val="2"/>
        </w:numPr>
        <w:ind w:left="0" w:firstLine="425"/>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按差额定率累进法计算收费: 按采购包预算金额100万元以下，收取1.5%；100-500万元，收取1.1%；500-1000万元，收取0.8%；1000-5000万元，收取0.5%；5000-10000万元，收取0.25%；10000-100000万元，收取0.05%，最低不少于3000元；该费用由中标单位另行支付至我司中标服务费专用帐户（</w:t>
      </w:r>
      <w:r>
        <w:rPr>
          <w:rFonts w:ascii="宋体" w:hAnsi="宋体" w:cs="Arial"/>
          <w:b/>
          <w:color w:val="000000"/>
          <w:szCs w:val="21"/>
          <w:highlight w:val="none"/>
        </w:rPr>
        <w:t xml:space="preserve">苏州公正建设咨询房地产评估有限公司</w:t>
      </w:r>
      <w:r>
        <w:rPr>
          <w:rFonts w:hint="eastAsia" w:ascii="宋体" w:hAnsi="宋体" w:cs="Arial"/>
          <w:b/>
          <w:color w:val="000000"/>
          <w:szCs w:val="21"/>
          <w:highlight w:val="none"/>
        </w:rPr>
        <w:t xml:space="preserve">  </w:t>
      </w:r>
      <w:r>
        <w:rPr>
          <w:rFonts w:ascii="宋体" w:hAnsi="宋体" w:cs="Arial"/>
          <w:b/>
          <w:color w:val="000000"/>
          <w:szCs w:val="21"/>
          <w:highlight w:val="none"/>
        </w:rPr>
        <w:t xml:space="preserve">帐</w:t>
      </w:r>
      <w:r>
        <w:rPr>
          <w:rFonts w:hint="eastAsia" w:ascii="宋体" w:hAnsi="宋体" w:cs="Arial"/>
          <w:b/>
          <w:color w:val="000000"/>
          <w:szCs w:val="21"/>
          <w:highlight w:val="none"/>
        </w:rPr>
        <w:t xml:space="preserve">  </w:t>
      </w:r>
      <w:r>
        <w:rPr>
          <w:rFonts w:ascii="宋体" w:hAnsi="宋体" w:cs="Arial"/>
          <w:b/>
          <w:color w:val="000000"/>
          <w:szCs w:val="21"/>
          <w:highlight w:val="none"/>
        </w:rPr>
        <w:t xml:space="preserve">号：</w:t>
      </w:r>
      <w:r>
        <w:rPr>
          <w:rFonts w:hint="eastAsia" w:ascii="宋体" w:hAnsi="宋体" w:cs="Arial"/>
          <w:b/>
          <w:color w:val="000000"/>
          <w:szCs w:val="21"/>
          <w:highlight w:val="none"/>
        </w:rPr>
        <w:t xml:space="preserve">3715 0188 0000 00965 </w:t>
      </w:r>
      <w:r>
        <w:rPr>
          <w:rFonts w:ascii="宋体" w:hAnsi="宋体" w:cs="Arial"/>
          <w:b/>
          <w:color w:val="000000"/>
          <w:szCs w:val="21"/>
          <w:highlight w:val="none"/>
        </w:rPr>
        <w:t xml:space="preserve">开户行</w:t>
      </w:r>
      <w:r>
        <w:rPr>
          <w:rFonts w:hint="eastAsia" w:ascii="宋体" w:hAnsi="宋体" w:cs="Arial"/>
          <w:b/>
          <w:color w:val="000000"/>
          <w:szCs w:val="21"/>
          <w:highlight w:val="none"/>
        </w:rPr>
        <w:t xml:space="preserve">：光大银行昆山高新技术产业园区支行）</w:t>
      </w:r>
      <w:r>
        <w:rPr>
          <w:rFonts w:hint="eastAsia" w:ascii="宋体" w:hAnsi="宋体" w:cs="Arial"/>
          <w:b/>
          <w:color w:val="000000"/>
          <w:szCs w:val="21"/>
          <w:highlight w:val="none"/>
        </w:rPr>
      </w:r>
      <w:r/>
    </w:p>
    <w:p>
      <w:pPr>
        <w:pStyle w:val="92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中标单位如果未按规定缴纳中标服务费，我单位保留诉讼的权利。</w:t>
      </w:r>
      <w:r>
        <w:rPr>
          <w:rFonts w:ascii="宋体" w:hAnsi="宋体" w:cs="Arial"/>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监督</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政府有关监督部门将对招投标全过程进行监督。</w:t>
      </w:r>
      <w:r>
        <w:rPr>
          <w:rFonts w:ascii="宋体" w:hAnsi="宋体" w:cs="Arial"/>
          <w:b/>
          <w:color w:val="000000"/>
          <w:szCs w:val="21"/>
          <w:highlight w:val="none"/>
        </w:rPr>
      </w:r>
      <w:r/>
    </w:p>
    <w:p>
      <w:pPr>
        <w:pStyle w:val="92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未尽事宜</w:t>
      </w:r>
      <w:r>
        <w:rPr>
          <w:rFonts w:ascii="宋体" w:hAnsi="宋体" w:cs="Arial"/>
          <w:b/>
          <w:color w:val="000000"/>
          <w:szCs w:val="21"/>
          <w:highlight w:val="none"/>
        </w:rPr>
      </w:r>
      <w:r/>
    </w:p>
    <w:p>
      <w:pPr>
        <w:pStyle w:val="922"/>
        <w:numPr>
          <w:ilvl w:val="1"/>
          <w:numId w:val="2"/>
        </w:numPr>
        <w:ind w:left="0"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按《中华人民共和国民法典》、《中华人民共和国政府采购法》及其他有关政府采购的法律法规的规定执行。</w:t>
      </w:r>
      <w:r>
        <w:rPr>
          <w:rFonts w:ascii="宋体" w:hAnsi="宋体" w:cs="Arial"/>
          <w:b/>
          <w:color w:val="000000"/>
          <w:szCs w:val="21"/>
          <w:highlight w:val="none"/>
        </w:rPr>
      </w:r>
      <w:r/>
    </w:p>
    <w:p>
      <w:pPr>
        <w:pStyle w:val="922"/>
        <w:jc w:val="center"/>
        <w:spacing w:line="360" w:lineRule="auto"/>
        <w:rPr>
          <w:rFonts w:ascii="宋体" w:hAnsi="宋体"/>
          <w:color w:val="000000"/>
          <w:sz w:val="24"/>
          <w:highlight w:val="none"/>
        </w:rPr>
      </w:pPr>
      <w:r>
        <w:rPr>
          <w:rFonts w:ascii="宋体" w:hAnsi="宋体"/>
          <w:color w:val="000000"/>
          <w:szCs w:val="21"/>
          <w:highlight w:val="none"/>
        </w:rPr>
        <w:br w:type="page" w:clear="all"/>
      </w:r>
      <w:r>
        <w:rPr>
          <w:rFonts w:ascii="宋体" w:hAnsi="宋体"/>
          <w:color w:val="000000"/>
          <w:sz w:val="24"/>
          <w:highlight w:val="none"/>
        </w:rPr>
      </w:r>
      <w:r/>
    </w:p>
    <w:p>
      <w:pPr>
        <w:pStyle w:val="995"/>
        <w:rPr>
          <w:color w:val="000000"/>
          <w:sz w:val="24"/>
          <w:szCs w:val="24"/>
          <w:highlight w:val="none"/>
        </w:rPr>
      </w:pPr>
      <w:r/>
      <w:bookmarkStart w:id="16" w:name="_Toc178063796"/>
      <w:r>
        <w:rPr>
          <w:rFonts w:hint="eastAsia"/>
          <w:color w:val="000000"/>
          <w:sz w:val="24"/>
          <w:szCs w:val="24"/>
          <w:highlight w:val="none"/>
        </w:rPr>
        <w:t xml:space="preserve">第三章  投标文件格式</w:t>
      </w:r>
      <w:bookmarkEnd w:id="16"/>
      <w:r/>
      <w:bookmarkStart w:id="17" w:name="gpcItem_SubmitDocStruct"/>
      <w:r/>
      <w:bookmarkEnd w:id="17"/>
      <w:r>
        <w:rPr>
          <w:color w:val="000000"/>
          <w:sz w:val="24"/>
          <w:szCs w:val="24"/>
          <w:highlight w:val="none"/>
        </w:rPr>
      </w:r>
      <w:r/>
    </w:p>
    <w:p>
      <w:pPr>
        <w:pStyle w:val="941"/>
        <w:ind w:firstLine="0"/>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w:t>
      </w:r>
      <w:r>
        <w:rPr>
          <w:rFonts w:ascii="宋体" w:hAnsi="宋体" w:eastAsia="宋体"/>
          <w:b/>
          <w:color w:val="000000"/>
          <w:sz w:val="21"/>
          <w:szCs w:val="21"/>
          <w:highlight w:val="none"/>
        </w:rPr>
      </w:r>
      <w:r/>
    </w:p>
    <w:p>
      <w:pPr>
        <w:pStyle w:val="941"/>
        <w:ind w:firstLine="48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对本章所有的投标书格式</w:t>
      </w:r>
      <w:r>
        <w:rPr>
          <w:rFonts w:ascii="宋体" w:hAnsi="宋体" w:eastAsia="宋体"/>
          <w:b/>
          <w:color w:val="000000"/>
          <w:sz w:val="21"/>
          <w:szCs w:val="21"/>
          <w:highlight w:val="none"/>
        </w:rPr>
        <w:t xml:space="preserve"> ，投标方可根据自身情况进行补充和修改，但补充和修改不得造成与本格式内容有实质性的违背。</w:t>
      </w:r>
      <w:r>
        <w:rPr>
          <w:rFonts w:hint="eastAsia" w:ascii="宋体" w:hAnsi="宋体" w:eastAsia="宋体"/>
          <w:b/>
          <w:color w:val="000000"/>
          <w:sz w:val="21"/>
          <w:szCs w:val="21"/>
          <w:highlight w:val="none"/>
        </w:rPr>
      </w:r>
      <w:r/>
    </w:p>
    <w:p>
      <w:pPr>
        <w:pStyle w:val="941"/>
        <w:ind w:firstLine="48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41"/>
        <w:ind w:firstLine="0"/>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投标文档结构表格</w:t>
      </w:r>
      <w:r>
        <w:rPr>
          <w:rFonts w:ascii="宋体" w:hAnsi="宋体" w:eastAsia="宋体"/>
          <w:b/>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c>
          <w:tcPr>
            <w:tcW w:w="2842" w:type="dxa"/>
            <w:vAlign w:val="top"/>
            <w:textDirection w:val="lrTb"/>
            <w:noWrap w:val="false"/>
          </w:tcPr>
          <w:p>
            <w:pPr>
              <w:pStyle w:val="941"/>
              <w:ind w:firstLine="0"/>
              <w:rPr>
                <w:rFonts w:ascii="宋体" w:hAnsi="宋体" w:eastAsia="宋体"/>
                <w:color w:val="000000"/>
                <w:sz w:val="21"/>
                <w:szCs w:val="21"/>
                <w:highlight w:val="none"/>
              </w:rPr>
            </w:pPr>
            <w:r/>
            <w:bookmarkStart w:id="18" w:name="gpcItem_tenderStruct"/>
            <w:r>
              <w:rPr>
                <w:rFonts w:hint="eastAsia" w:ascii="宋体" w:hAnsi="宋体" w:eastAsia="宋体"/>
                <w:color w:val="000000"/>
                <w:sz w:val="21"/>
                <w:szCs w:val="21"/>
                <w:highlight w:val="none"/>
              </w:rPr>
              <w:t xml:space="preserve">名称</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文档</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章节</w:t>
            </w:r>
            <w:r>
              <w:rPr>
                <w:rFonts w:ascii="宋体" w:hAnsi="宋体" w:eastAsia="宋体"/>
                <w:color w:val="000000"/>
                <w:sz w:val="21"/>
                <w:szCs w:val="21"/>
                <w:highlight w:val="none"/>
              </w:rPr>
            </w:r>
            <w:r/>
          </w:p>
        </w:tc>
      </w:tr>
      <w:tr>
        <w:trPr/>
        <w:tc>
          <w:tcPr>
            <w:tcW w:w="2842" w:type="dxa"/>
            <w:vAlign w:val="top"/>
            <w:vMerge w:val="restart"/>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投标函</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投标文件的声明函</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_Ref501489497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投标</w:t>
            </w:r>
            <w:r>
              <w:rPr>
                <w:rFonts w:ascii="宋体" w:hAnsi="宋体" w:eastAsia="宋体"/>
                <w:color w:val="000000"/>
                <w:sz w:val="21"/>
                <w:szCs w:val="21"/>
                <w:highlight w:val="none"/>
              </w:rPr>
              <w:t xml:space="preserve">文件的声明函</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41"/>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43" w:type="dxa"/>
            <w:vAlign w:val="top"/>
            <w:textDirection w:val="lrTb"/>
            <w:noWrap w:val="false"/>
          </w:tcPr>
          <w:p>
            <w:pPr>
              <w:pStyle w:val="941"/>
              <w:ind w:firstLine="0"/>
              <w:rPr>
                <w:rFonts w:hint="eastAsia"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_Ref35851864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投标承诺函</w:t>
            </w:r>
            <w:r>
              <w:rPr>
                <w:rFonts w:ascii="宋体" w:hAnsi="宋体" w:eastAsia="宋体"/>
                <w:color w:val="000000"/>
                <w:sz w:val="21"/>
                <w:szCs w:val="21"/>
                <w:highlight w:val="none"/>
              </w:rPr>
              <w:fldChar w:fldCharType="end"/>
            </w:r>
            <w:r>
              <w:rPr>
                <w:rFonts w:hint="eastAsia"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_Ref35851864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投标承诺函</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41"/>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法定代表人授权委托书</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_Ref501489515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法定代表人授权委托书</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t xml:space="preserve">投标函</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_Ref366160082 \h  \* MERGEFORMAT </w:instrText>
            </w:r>
            <w:r>
              <w:rPr>
                <w:rFonts w:ascii="宋体" w:hAnsi="宋体" w:eastAsia="宋体"/>
                <w:color w:val="000000"/>
                <w:sz w:val="21"/>
                <w:szCs w:val="21"/>
                <w:highlight w:val="none"/>
              </w:rPr>
              <w:fldChar w:fldCharType="separate"/>
            </w:r>
            <w:r>
              <w:rPr>
                <w:rFonts w:ascii="宋体" w:hAnsi="宋体" w:eastAsia="宋体"/>
                <w:color w:val="000000"/>
                <w:sz w:val="21"/>
                <w:szCs w:val="21"/>
                <w:highlight w:val="none"/>
              </w:rPr>
              <w:t xml:space="preserve">投标函</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开标一览表</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_Ref343881459 \h  \* MERGEFORMAT </w:instrText>
            </w:r>
            <w:r>
              <w:rPr>
                <w:rFonts w:ascii="宋体" w:hAnsi="宋体" w:eastAsia="宋体"/>
                <w:color w:val="000000"/>
                <w:sz w:val="21"/>
                <w:szCs w:val="21"/>
                <w:highlight w:val="none"/>
              </w:rPr>
              <w:fldChar w:fldCharType="separate"/>
            </w:r>
            <w:r>
              <w:rPr>
                <w:rFonts w:ascii="宋体" w:hAnsi="宋体" w:eastAsia="宋体"/>
                <w:color w:val="000000"/>
                <w:sz w:val="21"/>
                <w:szCs w:val="21"/>
                <w:highlight w:val="none"/>
              </w:rPr>
              <w:t xml:space="preserve">开标一览表</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投标报价表</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投标报价表</w:t>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偏离表（商务）</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_Ref22898688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偏离表（商务）：</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偏离表（技术）</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_Ref501489596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偏离表（技术）：</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4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资格证明文件</w:t>
            </w:r>
            <w:r>
              <w:rPr>
                <w:rFonts w:ascii="宋体" w:hAnsi="宋体" w:eastAsia="宋体"/>
                <w:color w:val="000000"/>
                <w:sz w:val="21"/>
                <w:szCs w:val="21"/>
                <w:highlight w:val="none"/>
              </w:rPr>
            </w:r>
            <w:r/>
          </w:p>
        </w:tc>
        <w:tc>
          <w:tcPr>
            <w:tcW w:w="2843" w:type="dxa"/>
            <w:vAlign w:val="top"/>
            <w:textDirection w:val="lrTb"/>
            <w:noWrap w:val="false"/>
          </w:tcPr>
          <w:p>
            <w:pPr>
              <w:pStyle w:val="94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资格证明文件</w:t>
            </w:r>
            <w:r>
              <w:rPr>
                <w:rFonts w:ascii="宋体" w:hAnsi="宋体" w:eastAsia="宋体"/>
                <w:color w:val="000000"/>
                <w:sz w:val="21"/>
                <w:szCs w:val="21"/>
                <w:highlight w:val="none"/>
              </w:rPr>
            </w:r>
            <w:r/>
          </w:p>
        </w:tc>
      </w:tr>
    </w:tbl>
    <w:p>
      <w:pPr>
        <w:pStyle w:val="941"/>
        <w:ind w:firstLine="0"/>
        <w:rPr>
          <w:rFonts w:ascii="宋体" w:hAnsi="宋体" w:eastAsia="宋体"/>
          <w:color w:val="000000"/>
          <w:sz w:val="21"/>
          <w:szCs w:val="21"/>
          <w:highlight w:val="none"/>
        </w:rPr>
      </w:pPr>
      <w:r/>
      <w:bookmarkEnd w:id="18"/>
      <w:r>
        <w:rPr>
          <w:rFonts w:ascii="宋体" w:hAnsi="宋体" w:eastAsia="宋体"/>
          <w:color w:val="000000"/>
          <w:sz w:val="21"/>
          <w:szCs w:val="21"/>
          <w:highlight w:val="none"/>
        </w:rPr>
      </w:r>
      <w:r/>
    </w:p>
    <w:p>
      <w:pPr>
        <w:pStyle w:val="924"/>
        <w:spacing w:line="416" w:lineRule="auto"/>
        <w:rPr>
          <w:rFonts w:ascii="宋体" w:hAnsi="宋体" w:eastAsia="宋体"/>
          <w:color w:val="000000"/>
          <w:sz w:val="21"/>
          <w:szCs w:val="21"/>
          <w:highlight w:val="none"/>
        </w:rPr>
      </w:pPr>
      <w:r/>
      <w:bookmarkStart w:id="19" w:name="_Toc178063797"/>
      <w:r/>
      <w:bookmarkStart w:id="20" w:name="_Ref501489497"/>
      <w:r>
        <w:rPr>
          <w:rFonts w:hint="eastAsia" w:ascii="宋体" w:hAnsi="宋体" w:eastAsia="宋体"/>
          <w:color w:val="000000"/>
          <w:sz w:val="21"/>
          <w:szCs w:val="21"/>
          <w:highlight w:val="none"/>
        </w:rPr>
        <w:t xml:space="preserve">投标</w:t>
      </w:r>
      <w:r>
        <w:rPr>
          <w:rFonts w:ascii="宋体" w:hAnsi="宋体" w:eastAsia="宋体"/>
          <w:color w:val="000000"/>
          <w:sz w:val="21"/>
          <w:szCs w:val="21"/>
          <w:highlight w:val="none"/>
        </w:rPr>
        <w:t xml:space="preserve">文件的声明函</w:t>
      </w:r>
      <w:bookmarkEnd w:id="19"/>
      <w:r/>
      <w:bookmarkEnd w:id="20"/>
      <w:r>
        <w:rPr>
          <w:rFonts w:ascii="宋体" w:hAnsi="宋体" w:eastAsia="宋体"/>
          <w:color w:val="000000"/>
          <w:sz w:val="21"/>
          <w:szCs w:val="21"/>
          <w:highlight w:val="none"/>
        </w:rPr>
      </w:r>
      <w:r/>
    </w:p>
    <w:p>
      <w:pPr>
        <w:pStyle w:val="941"/>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投标文件的声明函</w:t>
      </w:r>
      <w:r>
        <w:rPr>
          <w:rFonts w:ascii="宋体" w:hAnsi="宋体" w:eastAsia="宋体"/>
          <w:b/>
          <w:color w:val="000000"/>
          <w:sz w:val="21"/>
          <w:szCs w:val="21"/>
          <w:highlight w:val="none"/>
        </w:rPr>
      </w:r>
      <w:r/>
    </w:p>
    <w:p>
      <w:pPr>
        <w:pStyle w:val="941"/>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苏州公正建设咨询房地产评估有限公司</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941"/>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本公司愿就由贵公司组织实施的编号为</w:t>
      </w:r>
      <w:r>
        <w:rPr>
          <w:rFonts w:ascii="宋体" w:hAnsi="宋体" w:eastAsia="宋体"/>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JSZC-320583-SZGZ-G2025-0157 </w:t>
      </w:r>
      <w:r>
        <w:rPr>
          <w:rFonts w:hint="eastAsia" w:ascii="宋体" w:hAnsi="宋体" w:eastAsia="宋体"/>
          <w:color w:val="000000"/>
          <w:sz w:val="21"/>
          <w:szCs w:val="21"/>
          <w:highlight w:val="none"/>
        </w:rPr>
        <w:t xml:space="preserve">号的招标活动进行投标。本公司所提交的投标资料均是真实的、准确的。若与真实情况不符，本公司愿意承担由此而产生的一切后果。</w:t>
      </w:r>
      <w:r>
        <w:rPr>
          <w:rFonts w:ascii="宋体" w:hAnsi="宋体" w:eastAsia="宋体"/>
          <w:color w:val="000000"/>
          <w:sz w:val="21"/>
          <w:szCs w:val="21"/>
          <w:highlight w:val="none"/>
        </w:rPr>
      </w:r>
      <w:r/>
    </w:p>
    <w:p>
      <w:pPr>
        <w:pStyle w:val="941"/>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41"/>
        <w:spacing w:line="360" w:lineRule="auto"/>
        <w:tabs>
          <w:tab w:val="left" w:pos="2940" w:leader="none"/>
        </w:tabs>
        <w:rPr>
          <w:rFonts w:ascii="宋体" w:hAnsi="宋体" w:eastAsia="宋体"/>
          <w:color w:val="000000"/>
          <w:sz w:val="21"/>
          <w:szCs w:val="21"/>
          <w:highlight w:val="none"/>
        </w:rPr>
      </w:pPr>
      <w:r>
        <w:rPr>
          <w:rFonts w:ascii="宋体" w:hAnsi="宋体" w:eastAsia="宋体"/>
          <w:color w:val="000000"/>
          <w:sz w:val="21"/>
          <w:szCs w:val="21"/>
          <w:highlight w:val="none"/>
        </w:rPr>
        <w:tab/>
      </w:r>
      <w:r>
        <w:rPr>
          <w:rFonts w:hint="eastAsia" w:ascii="宋体" w:hAnsi="宋体" w:eastAsia="宋体"/>
          <w:color w:val="000000"/>
          <w:sz w:val="21"/>
          <w:szCs w:val="21"/>
          <w:highlight w:val="none"/>
        </w:rPr>
        <w:t xml:space="preserve">投标人（公章）：</w:t>
      </w:r>
      <w:r>
        <w:rPr>
          <w:rFonts w:ascii="宋体" w:hAnsi="宋体" w:eastAsia="宋体"/>
          <w:color w:val="000000"/>
          <w:sz w:val="21"/>
          <w:szCs w:val="21"/>
          <w:highlight w:val="none"/>
        </w:rPr>
      </w:r>
      <w:r/>
    </w:p>
    <w:p>
      <w:pPr>
        <w:pStyle w:val="941"/>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tab/>
      </w:r>
      <w:r>
        <w:rPr>
          <w:rFonts w:ascii="宋体" w:hAnsi="宋体" w:eastAsia="宋体"/>
          <w:color w:val="000000"/>
          <w:sz w:val="21"/>
          <w:szCs w:val="21"/>
          <w:highlight w:val="none"/>
        </w:rPr>
        <w:tab/>
      </w:r>
      <w:r>
        <w:rPr>
          <w:rFonts w:ascii="宋体" w:hAnsi="宋体" w:eastAsia="宋体"/>
          <w:color w:val="000000"/>
          <w:sz w:val="21"/>
          <w:szCs w:val="21"/>
          <w:highlight w:val="none"/>
        </w:rPr>
        <w:tab/>
      </w:r>
      <w:r>
        <w:rPr>
          <w:rFonts w:ascii="宋体" w:hAnsi="宋体" w:eastAsia="宋体"/>
          <w:color w:val="000000"/>
          <w:sz w:val="21"/>
          <w:szCs w:val="21"/>
          <w:highlight w:val="none"/>
        </w:rPr>
        <w:tab/>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法定代表人或被授权人签字：</w:t>
      </w:r>
      <w:r>
        <w:rPr>
          <w:rFonts w:ascii="宋体" w:hAnsi="宋体" w:eastAsia="宋体"/>
          <w:color w:val="000000"/>
          <w:sz w:val="21"/>
          <w:szCs w:val="21"/>
          <w:highlight w:val="none"/>
        </w:rPr>
      </w:r>
      <w:r/>
    </w:p>
    <w:p>
      <w:pPr>
        <w:pStyle w:val="941"/>
        <w:ind w:left="1700" w:firstLine="425"/>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941"/>
        <w:ind w:left="4675" w:firstLine="425"/>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年　</w:t>
      </w:r>
      <w:r>
        <w:rPr>
          <w:rFonts w:ascii="宋体" w:hAnsi="宋体" w:eastAsia="宋体"/>
          <w:color w:val="000000"/>
          <w:sz w:val="21"/>
          <w:szCs w:val="21"/>
          <w:highlight w:val="none"/>
        </w:rPr>
        <w:tab/>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月</w:t>
      </w:r>
      <w:r>
        <w:rPr>
          <w:rFonts w:ascii="宋体" w:hAnsi="宋体" w:eastAsia="宋体"/>
          <w:color w:val="000000"/>
          <w:sz w:val="21"/>
          <w:szCs w:val="21"/>
          <w:highlight w:val="none"/>
        </w:rPr>
        <w:t xml:space="preserve"> </w:t>
      </w:r>
      <w:r>
        <w:rPr>
          <w:rFonts w:ascii="宋体" w:hAnsi="宋体" w:eastAsia="宋体"/>
          <w:color w:val="000000"/>
          <w:sz w:val="21"/>
          <w:szCs w:val="21"/>
          <w:highlight w:val="none"/>
        </w:rPr>
        <w:tab/>
      </w:r>
      <w:r>
        <w:rPr>
          <w:rFonts w:hint="eastAsia" w:ascii="宋体" w:hAnsi="宋体" w:eastAsia="宋体"/>
          <w:color w:val="000000"/>
          <w:sz w:val="21"/>
          <w:szCs w:val="21"/>
          <w:highlight w:val="none"/>
        </w:rPr>
        <w:t xml:space="preserve">日</w:t>
      </w:r>
      <w:r>
        <w:rPr>
          <w:rFonts w:ascii="宋体" w:hAnsi="宋体" w:eastAsia="宋体"/>
          <w:color w:val="000000"/>
          <w:sz w:val="21"/>
          <w:szCs w:val="21"/>
          <w:highlight w:val="none"/>
        </w:rPr>
      </w:r>
      <w:r/>
    </w:p>
    <w:p>
      <w:pPr>
        <w:pStyle w:val="924"/>
        <w:jc w:val="center"/>
        <w:rPr>
          <w:rFonts w:hint="eastAsia" w:ascii="宋体" w:hAnsi="宋体" w:eastAsia="宋体"/>
          <w:color w:val="000000"/>
          <w:sz w:val="21"/>
          <w:szCs w:val="21"/>
          <w:highlight w:val="none"/>
        </w:rPr>
      </w:pPr>
      <w:r>
        <w:rPr>
          <w:rFonts w:ascii="宋体" w:hAnsi="宋体" w:eastAsia="宋体"/>
          <w:color w:val="000000"/>
          <w:sz w:val="21"/>
          <w:szCs w:val="21"/>
          <w:highlight w:val="none"/>
        </w:rPr>
        <w:br w:type="page" w:clear="all"/>
      </w:r>
      <w:bookmarkStart w:id="21" w:name="_Ref35851864"/>
      <w:r/>
      <w:bookmarkStart w:id="22" w:name="_Toc178063798"/>
      <w:r>
        <w:rPr>
          <w:rFonts w:hint="eastAsia" w:ascii="宋体" w:hAnsi="宋体" w:eastAsia="宋体"/>
          <w:color w:val="000000"/>
          <w:sz w:val="21"/>
          <w:szCs w:val="21"/>
          <w:highlight w:val="none"/>
        </w:rPr>
        <w:t xml:space="preserve">投标承诺函</w:t>
      </w:r>
      <w:bookmarkEnd w:id="21"/>
      <w:r/>
      <w:bookmarkEnd w:id="22"/>
      <w:r>
        <w:rPr>
          <w:rFonts w:hint="eastAsia" w:ascii="宋体" w:hAnsi="宋体" w:eastAsia="宋体"/>
          <w:color w:val="000000"/>
          <w:sz w:val="21"/>
          <w:szCs w:val="21"/>
          <w:highlight w:val="none"/>
        </w:rPr>
      </w:r>
      <w:r/>
    </w:p>
    <w:p>
      <w:pPr>
        <w:pStyle w:val="922"/>
        <w:jc w:val="center"/>
        <w:rPr>
          <w:rFonts w:hint="eastAsia" w:ascii="宋体" w:hAnsi="宋体"/>
          <w:color w:val="000000"/>
          <w:szCs w:val="21"/>
          <w:highlight w:val="none"/>
        </w:rPr>
      </w:pPr>
      <w:r>
        <w:rPr>
          <w:rFonts w:hint="eastAsia" w:ascii="宋体" w:hAnsi="宋体"/>
          <w:color w:val="000000"/>
          <w:szCs w:val="21"/>
          <w:highlight w:val="none"/>
        </w:rPr>
      </w:r>
      <w:r/>
    </w:p>
    <w:p>
      <w:pPr>
        <w:pStyle w:val="922"/>
        <w:jc w:val="center"/>
        <w:rPr>
          <w:rFonts w:hint="eastAsia" w:ascii="宋体" w:hAnsi="宋体"/>
          <w:color w:val="000000"/>
          <w:szCs w:val="21"/>
          <w:highlight w:val="none"/>
        </w:rPr>
      </w:pPr>
      <w:r>
        <w:rPr>
          <w:rFonts w:hint="eastAsia" w:ascii="宋体" w:hAnsi="宋体"/>
          <w:color w:val="000000"/>
          <w:szCs w:val="21"/>
          <w:highlight w:val="none"/>
        </w:rPr>
      </w:r>
      <w:r/>
    </w:p>
    <w:p>
      <w:pPr>
        <w:pStyle w:val="9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致：___________________________(采购人名称）</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我单位自愿参加___________________（项目名称）的投标，并做出如下承诺：</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一、除不可抗力外，我单位如果发生以下行为，将在行为发生的10个工作日内，向贵方支付本采购文件公布的预算价的2%作为违约赔偿金。</w:t>
      </w:r>
      <w:r>
        <w:rPr>
          <w:rFonts w:hint="eastAsia" w:ascii="宋体" w:hAnsi="宋体"/>
          <w:color w:val="000000"/>
          <w:szCs w:val="21"/>
          <w:highlight w:val="none"/>
        </w:rPr>
      </w:r>
      <w:r/>
    </w:p>
    <w:p>
      <w:pPr>
        <w:pStyle w:val="922"/>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 1、在采购文件规定的投标(响应)有效期内实质上修改或撤回投标；</w:t>
      </w:r>
      <w:r>
        <w:rPr>
          <w:rFonts w:ascii="宋体" w:hAnsi="宋体"/>
          <w:color w:val="000000"/>
          <w:szCs w:val="21"/>
          <w:highlight w:val="none"/>
        </w:rPr>
      </w:r>
      <w:r/>
    </w:p>
    <w:p>
      <w:pPr>
        <w:pStyle w:val="922"/>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 2、中标(成交)后不依法与采购人签订合同；</w:t>
      </w:r>
      <w:r>
        <w:rPr>
          <w:rFonts w:ascii="宋体" w:hAnsi="宋体"/>
          <w:color w:val="000000"/>
          <w:szCs w:val="21"/>
          <w:highlight w:val="none"/>
        </w:rPr>
      </w:r>
      <w:r/>
    </w:p>
    <w:p>
      <w:pPr>
        <w:pStyle w:val="922"/>
        <w:ind w:firstLine="525"/>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3、在投标（响应）文件中提供虚假材料；</w:t>
      </w:r>
      <w:r>
        <w:rPr>
          <w:rFonts w:hint="eastAsia" w:ascii="宋体" w:hAnsi="宋体"/>
          <w:color w:val="000000"/>
          <w:szCs w:val="21"/>
          <w:highlight w:val="none"/>
        </w:rPr>
      </w:r>
      <w:r/>
    </w:p>
    <w:p>
      <w:pPr>
        <w:pStyle w:val="922"/>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恶意串通；</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5、其他违法违规情形。</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二、我单位知晓上述行为的法律后果，承认本承诺书作为贵方要求我单位履行违约赔偿义务的依据作用。</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法定代表人（签字）：</w:t>
      </w:r>
      <w:r>
        <w:rPr>
          <w:rFonts w:hint="eastAsia"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941"/>
        <w:ind w:left="4675" w:firstLine="425"/>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br w:type="page" w:clear="all"/>
      </w:r>
      <w:r>
        <w:rPr>
          <w:rFonts w:ascii="宋体" w:hAnsi="宋体" w:eastAsia="宋体"/>
          <w:color w:val="000000"/>
          <w:sz w:val="21"/>
          <w:szCs w:val="21"/>
          <w:highlight w:val="none"/>
        </w:rPr>
      </w:r>
      <w:r/>
    </w:p>
    <w:p>
      <w:pPr>
        <w:pStyle w:val="924"/>
        <w:ind w:left="567" w:hanging="567"/>
        <w:spacing w:line="416" w:lineRule="auto"/>
        <w:rPr>
          <w:rFonts w:ascii="宋体" w:hAnsi="宋体" w:eastAsia="宋体"/>
          <w:color w:val="000000"/>
          <w:sz w:val="21"/>
          <w:szCs w:val="21"/>
          <w:highlight w:val="none"/>
        </w:rPr>
      </w:pPr>
      <w:r/>
      <w:bookmarkStart w:id="23" w:name="_Toc178063799"/>
      <w:r>
        <w:rPr>
          <w:rFonts w:hint="eastAsia" w:ascii="宋体" w:hAnsi="宋体" w:eastAsia="宋体"/>
          <w:color w:val="000000"/>
          <w:sz w:val="21"/>
          <w:szCs w:val="21"/>
          <w:highlight w:val="none"/>
        </w:rPr>
        <w:t xml:space="preserve">无重大违法记录声明</w:t>
      </w:r>
      <w:bookmarkEnd w:id="23"/>
      <w:r>
        <w:rPr>
          <w:rFonts w:ascii="宋体" w:hAnsi="宋体" w:eastAsia="宋体"/>
          <w:color w:val="000000"/>
          <w:sz w:val="21"/>
          <w:szCs w:val="21"/>
          <w:highlight w:val="none"/>
        </w:rPr>
      </w:r>
      <w:r/>
    </w:p>
    <w:p>
      <w:pPr>
        <w:pStyle w:val="922"/>
        <w:contextualSpacing/>
        <w:ind w:right="-252" w:firstLine="420"/>
        <w:jc w:val="center"/>
        <w:rPr>
          <w:rFonts w:ascii="宋体" w:hAnsi="宋体"/>
          <w:b/>
          <w:color w:val="000000"/>
          <w:szCs w:val="21"/>
          <w:highlight w:val="none"/>
        </w:rPr>
      </w:pPr>
      <w:r>
        <w:rPr>
          <w:rFonts w:ascii="宋体" w:hAnsi="宋体"/>
          <w:b/>
          <w:color w:val="000000"/>
          <w:szCs w:val="21"/>
          <w:highlight w:val="none"/>
        </w:rPr>
      </w:r>
      <w:r/>
    </w:p>
    <w:p>
      <w:pPr>
        <w:pStyle w:val="922"/>
        <w:contextualSpacing/>
        <w:ind w:right="-252" w:firstLine="42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无重大违法记录声明</w:t>
      </w:r>
      <w:r>
        <w:rPr>
          <w:rFonts w:ascii="宋体" w:hAnsi="宋体"/>
          <w:b/>
          <w:color w:val="000000"/>
          <w:szCs w:val="21"/>
          <w:highlight w:val="none"/>
        </w:rPr>
      </w:r>
      <w:r/>
    </w:p>
    <w:p>
      <w:pPr>
        <w:pStyle w:val="922"/>
        <w:contextualSpacing/>
        <w:ind w:right="-252" w:firstLine="42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22"/>
        <w:contextualSpacing/>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苏州公正建设咨询房地产评估有限公司：</w:t>
      </w:r>
      <w:r>
        <w:rPr>
          <w:rFonts w:ascii="宋体" w:hAnsi="宋体"/>
          <w:color w:val="000000"/>
          <w:szCs w:val="21"/>
          <w:highlight w:val="none"/>
        </w:rPr>
      </w:r>
      <w:r/>
    </w:p>
    <w:p>
      <w:pPr>
        <w:pStyle w:val="922"/>
        <w:contextualSpacing/>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我单位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（供应商名称）郑重声明：</w:t>
      </w:r>
      <w:r>
        <w:rPr>
          <w:rFonts w:ascii="宋体" w:hAnsi="宋体"/>
          <w:color w:val="000000"/>
          <w:szCs w:val="21"/>
          <w:highlight w:val="none"/>
        </w:rPr>
      </w:r>
      <w:r/>
    </w:p>
    <w:p>
      <w:pPr>
        <w:pStyle w:val="922"/>
        <w:contextualSpacing/>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参加政府采购活动前3年内在经营活动中</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（在下划线上如实填写：有或没有）重大违法记录。</w:t>
      </w:r>
      <w:r>
        <w:rPr>
          <w:rFonts w:ascii="宋体" w:hAnsi="宋体"/>
          <w:color w:val="000000"/>
          <w:szCs w:val="21"/>
          <w:highlight w:val="none"/>
        </w:rPr>
      </w:r>
      <w:r/>
    </w:p>
    <w:p>
      <w:pPr>
        <w:pStyle w:val="922"/>
        <w:contextualSpacing/>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Cs w:val="21"/>
          <w:highlight w:val="none"/>
        </w:rPr>
      </w:r>
      <w:r/>
    </w:p>
    <w:p>
      <w:pPr>
        <w:pStyle w:val="922"/>
        <w:contextualSpacing/>
        <w:ind w:firstLine="420"/>
        <w:jc w:val="right"/>
        <w:spacing w:line="360" w:lineRule="auto"/>
        <w:rPr>
          <w:rFonts w:ascii="宋体" w:hAnsi="宋体"/>
          <w:color w:val="000000"/>
          <w:szCs w:val="21"/>
          <w:highlight w:val="none"/>
        </w:rPr>
      </w:pPr>
      <w:r>
        <w:rPr>
          <w:rFonts w:hint="eastAsia" w:ascii="宋体" w:hAnsi="宋体"/>
          <w:color w:val="000000"/>
          <w:szCs w:val="21"/>
          <w:highlight w:val="none"/>
        </w:rPr>
        <w:t xml:space="preserve">声明人：（公章）</w:t>
      </w:r>
      <w:r>
        <w:rPr>
          <w:rFonts w:ascii="宋体" w:hAnsi="宋体"/>
          <w:color w:val="000000"/>
          <w:szCs w:val="21"/>
          <w:highlight w:val="none"/>
        </w:rPr>
      </w:r>
      <w:r/>
    </w:p>
    <w:p>
      <w:pPr>
        <w:pStyle w:val="922"/>
        <w:contextualSpacing/>
        <w:ind w:firstLine="420"/>
        <w:jc w:val="right"/>
        <w:spacing w:line="360" w:lineRule="auto"/>
        <w:rPr>
          <w:rFonts w:ascii="宋体" w:hAnsi="宋体"/>
          <w:color w:val="000000"/>
          <w:szCs w:val="21"/>
          <w:highlight w:val="none"/>
        </w:rPr>
      </w:pPr>
      <w:r>
        <w:rPr>
          <w:rFonts w:hint="eastAsia" w:ascii="宋体" w:hAnsi="宋体"/>
          <w:color w:val="000000"/>
          <w:szCs w:val="21"/>
          <w:highlight w:val="none"/>
        </w:rPr>
        <w:t xml:space="preserve">  日 期：         </w:t>
      </w:r>
      <w:r>
        <w:rPr>
          <w:rFonts w:ascii="宋体" w:hAnsi="宋体"/>
          <w:color w:val="000000"/>
          <w:szCs w:val="21"/>
          <w:highlight w:val="none"/>
        </w:rPr>
      </w:r>
      <w:r/>
    </w:p>
    <w:p>
      <w:pPr>
        <w:pStyle w:val="941"/>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24"/>
        <w:ind w:left="567" w:hanging="567"/>
        <w:spacing w:line="416" w:lineRule="auto"/>
        <w:rPr>
          <w:rFonts w:ascii="宋体" w:hAnsi="宋体" w:eastAsia="宋体"/>
          <w:color w:val="000000"/>
          <w:sz w:val="21"/>
          <w:szCs w:val="21"/>
          <w:highlight w:val="none"/>
        </w:rPr>
      </w:pPr>
      <w:r/>
      <w:bookmarkStart w:id="24" w:name="_Ref501489515"/>
      <w:r/>
      <w:bookmarkStart w:id="25" w:name="_Toc178063800"/>
      <w:r>
        <w:rPr>
          <w:rFonts w:hint="eastAsia" w:ascii="宋体" w:hAnsi="宋体" w:eastAsia="宋体"/>
          <w:color w:val="000000"/>
          <w:sz w:val="21"/>
          <w:szCs w:val="21"/>
          <w:highlight w:val="none"/>
        </w:rPr>
        <w:t xml:space="preserve">法定代表人授权委托书</w:t>
      </w:r>
      <w:bookmarkEnd w:id="24"/>
      <w:r/>
      <w:bookmarkEnd w:id="25"/>
      <w:r>
        <w:rPr>
          <w:rFonts w:ascii="宋体" w:hAnsi="宋体" w:eastAsia="宋体"/>
          <w:color w:val="000000"/>
          <w:sz w:val="21"/>
          <w:szCs w:val="21"/>
          <w:highlight w:val="none"/>
        </w:rPr>
      </w:r>
      <w:r/>
    </w:p>
    <w:p>
      <w:pPr>
        <w:pStyle w:val="941"/>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法定代表人授权委托书</w:t>
      </w:r>
      <w:r>
        <w:rPr>
          <w:rFonts w:ascii="宋体" w:hAnsi="宋体" w:eastAsia="宋体"/>
          <w:b/>
          <w:color w:val="000000"/>
          <w:sz w:val="21"/>
          <w:szCs w:val="21"/>
          <w:highlight w:val="none"/>
        </w:rPr>
      </w:r>
      <w:r/>
    </w:p>
    <w:p>
      <w:pPr>
        <w:pStyle w:val="922"/>
        <w:rPr>
          <w:rFonts w:ascii="宋体" w:hAnsi="宋体"/>
          <w:color w:val="000000"/>
          <w:szCs w:val="21"/>
          <w:highlight w:val="none"/>
        </w:rPr>
      </w:pPr>
      <w:r>
        <w:rPr>
          <w:rFonts w:ascii="宋体" w:hAnsi="宋体"/>
          <w:color w:val="000000"/>
          <w:szCs w:val="21"/>
          <w:highlight w:val="none"/>
        </w:rPr>
      </w:r>
      <w:r/>
    </w:p>
    <w:p>
      <w:pPr>
        <w:pStyle w:val="941"/>
        <w:spacing w:line="360" w:lineRule="auto"/>
        <w:rPr>
          <w:rFonts w:ascii="宋体" w:hAnsi="宋体" w:eastAsia="宋体"/>
          <w:color w:val="000000"/>
          <w:sz w:val="21"/>
          <w:szCs w:val="21"/>
          <w:highlight w:val="none"/>
        </w:rPr>
      </w:pPr>
      <w:r/>
      <w:bookmarkStart w:id="26" w:name="_Ref343881923"/>
      <w:r>
        <w:rPr>
          <w:rFonts w:hint="eastAsia" w:ascii="宋体" w:hAnsi="宋体" w:eastAsia="宋体"/>
          <w:color w:val="000000"/>
          <w:sz w:val="21"/>
          <w:szCs w:val="21"/>
          <w:highlight w:val="none"/>
        </w:rPr>
        <w:t xml:space="preserve">本授权委托书声明：</w:t>
      </w:r>
      <w:r>
        <w:rPr>
          <w:rFonts w:ascii="宋体" w:hAnsi="宋体" w:eastAsia="宋体"/>
          <w:color w:val="000000"/>
          <w:sz w:val="21"/>
          <w:szCs w:val="21"/>
          <w:highlight w:val="none"/>
        </w:rPr>
        <w:t xml:space="preserve">  我 </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（姓名）系</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（投标单位名称）的法定代表人，现授权委托</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（单位名称）的</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（姓名）为我公司</w:t>
      </w:r>
      <w:r>
        <w:rPr>
          <w:rFonts w:hint="eastAsia" w:ascii="宋体" w:hAnsi="宋体" w:eastAsia="宋体"/>
          <w:color w:val="000000"/>
          <w:sz w:val="21"/>
          <w:szCs w:val="21"/>
          <w:highlight w:val="none"/>
        </w:rPr>
        <w:t xml:space="preserve">被授权</w:t>
      </w:r>
      <w:r>
        <w:rPr>
          <w:rFonts w:ascii="宋体" w:hAnsi="宋体" w:eastAsia="宋体"/>
          <w:color w:val="000000"/>
          <w:sz w:val="21"/>
          <w:szCs w:val="21"/>
          <w:highlight w:val="none"/>
        </w:rPr>
        <w:t xml:space="preserve">人，以本公司的名义参加</w:t>
      </w:r>
      <w:r>
        <w:rPr>
          <w:rFonts w:hint="eastAsia" w:ascii="宋体" w:hAnsi="宋体" w:eastAsia="宋体"/>
          <w:color w:val="000000"/>
          <w:sz w:val="21"/>
          <w:szCs w:val="21"/>
          <w:highlight w:val="none"/>
        </w:rPr>
        <w:t xml:space="preserve">苏州公正建设咨询房地产评估有限公司</w:t>
      </w:r>
      <w:r>
        <w:rPr>
          <w:rFonts w:ascii="宋体" w:hAnsi="宋体" w:eastAsia="宋体"/>
          <w:color w:val="000000"/>
          <w:sz w:val="21"/>
          <w:szCs w:val="21"/>
          <w:highlight w:val="none"/>
        </w:rPr>
        <w:t xml:space="preserve">组织实施的编号为</w:t>
      </w:r>
      <w:r>
        <w:rPr>
          <w:rFonts w:hint="eastAsia" w:ascii="宋体" w:hAnsi="宋体" w:eastAsia="宋体"/>
          <w:color w:val="000000"/>
          <w:sz w:val="21"/>
          <w:szCs w:val="21"/>
          <w:highlight w:val="none"/>
          <w:lang w:eastAsia="zh-CN"/>
        </w:rPr>
        <w:t xml:space="preserve">JSZC-320583-SZGZ-G2025-0157</w:t>
      </w:r>
      <w:r>
        <w:rPr>
          <w:rFonts w:ascii="宋体" w:hAnsi="宋体" w:eastAsia="宋体"/>
          <w:color w:val="000000"/>
          <w:sz w:val="21"/>
          <w:szCs w:val="21"/>
          <w:highlight w:val="none"/>
        </w:rPr>
        <w:t xml:space="preserve">号的招标活动。</w:t>
      </w:r>
      <w:r>
        <w:rPr>
          <w:rFonts w:hint="eastAsia" w:ascii="宋体" w:hAnsi="宋体" w:eastAsia="宋体"/>
          <w:color w:val="000000"/>
          <w:sz w:val="21"/>
          <w:szCs w:val="21"/>
          <w:highlight w:val="none"/>
        </w:rPr>
        <w:t xml:space="preserve">被授权人</w:t>
      </w:r>
      <w:r>
        <w:rPr>
          <w:rFonts w:ascii="宋体" w:hAnsi="宋体" w:eastAsia="宋体"/>
          <w:color w:val="000000"/>
          <w:sz w:val="21"/>
          <w:szCs w:val="21"/>
          <w:highlight w:val="none"/>
        </w:rPr>
        <w:t xml:space="preserve">在开标、评标、合同谈判过程中所签署的一切文件和处理与这有关的一切事务，我均予以承认。</w:t>
      </w:r>
      <w:r>
        <w:rPr>
          <w:rFonts w:ascii="宋体" w:hAnsi="宋体" w:eastAsia="宋体"/>
          <w:color w:val="000000"/>
          <w:sz w:val="21"/>
          <w:szCs w:val="21"/>
          <w:highlight w:val="none"/>
        </w:rPr>
      </w:r>
      <w:r/>
    </w:p>
    <w:p>
      <w:pPr>
        <w:pStyle w:val="94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sz w:val="21"/>
          <w:szCs w:val="21"/>
          <w:highlight w:val="none"/>
        </w:rPr>
      </w:r>
      <w:r/>
    </w:p>
    <w:p>
      <w:pPr>
        <w:pStyle w:val="94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被授权人无转委托权。特此委托。 </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tab/>
      </w:r>
      <w:r>
        <w:rPr>
          <w:rFonts w:ascii="宋体" w:hAnsi="宋体" w:eastAsia="宋体"/>
          <w:color w:val="000000"/>
          <w:sz w:val="21"/>
          <w:szCs w:val="21"/>
          <w:highlight w:val="none"/>
        </w:rPr>
      </w:r>
      <w:r/>
    </w:p>
    <w:p>
      <w:pPr>
        <w:pStyle w:val="94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投标人：（盖章）</w:t>
      </w:r>
      <w:r>
        <w:rPr>
          <w:rFonts w:ascii="宋体" w:hAnsi="宋体" w:eastAsia="宋体"/>
          <w:color w:val="000000"/>
          <w:sz w:val="21"/>
          <w:szCs w:val="21"/>
          <w:highlight w:val="none"/>
        </w:rPr>
      </w:r>
      <w:r/>
    </w:p>
    <w:p>
      <w:pPr>
        <w:pStyle w:val="94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法定代表人：（签字）</w:t>
      </w:r>
      <w:r>
        <w:rPr>
          <w:rFonts w:ascii="宋体" w:hAnsi="宋体" w:eastAsia="宋体"/>
          <w:color w:val="000000"/>
          <w:sz w:val="21"/>
          <w:szCs w:val="21"/>
          <w:highlight w:val="none"/>
        </w:rPr>
      </w:r>
      <w:r/>
    </w:p>
    <w:p>
      <w:pPr>
        <w:pStyle w:val="94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被授权人：（签字）</w:t>
      </w:r>
      <w:r>
        <w:rPr>
          <w:rFonts w:ascii="宋体" w:hAnsi="宋体" w:eastAsia="宋体"/>
          <w:color w:val="000000"/>
          <w:sz w:val="21"/>
          <w:szCs w:val="21"/>
          <w:highlight w:val="none"/>
        </w:rPr>
      </w:r>
      <w:r/>
    </w:p>
    <w:p>
      <w:pPr>
        <w:pStyle w:val="941"/>
        <w:ind w:firstLine="787"/>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rPr>
        <w:t xml:space="preserve">  月  日</w:t>
      </w:r>
      <w:r>
        <w:rPr>
          <w:rFonts w:ascii="宋体" w:hAnsi="宋体" w:eastAsia="宋体"/>
          <w:color w:val="000000"/>
          <w:sz w:val="21"/>
          <w:szCs w:val="21"/>
          <w:highlight w:val="none"/>
        </w:rPr>
      </w:r>
      <w:r/>
    </w:p>
    <w:p>
      <w:pPr>
        <w:pStyle w:val="941"/>
        <w:ind w:firstLine="787"/>
        <w:rPr>
          <w:rFonts w:ascii="宋体" w:hAnsi="宋体" w:eastAsia="宋体"/>
          <w:color w:val="000000"/>
          <w:sz w:val="21"/>
          <w:szCs w:val="21"/>
          <w:highlight w:val="none"/>
        </w:rPr>
      </w:pPr>
      <w:r>
        <w:rPr>
          <w:rFonts w:ascii="宋体" w:hAnsi="宋体" w:eastAsia="宋体"/>
          <w:color w:val="000000"/>
          <w:sz w:val="21"/>
          <w:szCs w:val="21"/>
          <w:highlight w:val="none"/>
        </w:rPr>
        <w:br w:type="page" w:clear="all"/>
      </w:r>
      <w:r>
        <w:rPr>
          <w:rFonts w:ascii="宋体" w:hAnsi="宋体" w:eastAsia="宋体"/>
          <w:color w:val="000000"/>
          <w:sz w:val="21"/>
          <w:szCs w:val="21"/>
          <w:highlight w:val="none"/>
        </w:rPr>
      </w:r>
      <w:r/>
    </w:p>
    <w:p>
      <w:pPr>
        <w:pStyle w:val="924"/>
        <w:ind w:left="567" w:hanging="567"/>
        <w:spacing w:line="416" w:lineRule="auto"/>
        <w:rPr>
          <w:rFonts w:ascii="宋体" w:hAnsi="宋体" w:eastAsia="宋体"/>
          <w:b w:val="0"/>
          <w:color w:val="000000"/>
          <w:sz w:val="21"/>
          <w:szCs w:val="21"/>
          <w:highlight w:val="none"/>
        </w:rPr>
      </w:pPr>
      <w:r/>
      <w:bookmarkStart w:id="27" w:name="_Toc497431308"/>
      <w:r/>
      <w:bookmarkStart w:id="28" w:name="_Toc178063801"/>
      <w:r/>
      <w:bookmarkStart w:id="29" w:name="_Ref366160082"/>
      <w:r>
        <w:rPr>
          <w:rFonts w:ascii="宋体" w:hAnsi="宋体" w:eastAsia="宋体"/>
          <w:color w:val="000000"/>
          <w:sz w:val="21"/>
          <w:szCs w:val="21"/>
          <w:highlight w:val="none"/>
        </w:rPr>
        <w:t xml:space="preserve">投标函</w:t>
      </w:r>
      <w:bookmarkEnd w:id="26"/>
      <w:r/>
      <w:bookmarkEnd w:id="27"/>
      <w:r/>
      <w:bookmarkEnd w:id="28"/>
      <w:r/>
      <w:bookmarkEnd w:id="29"/>
      <w:r>
        <w:rPr>
          <w:rFonts w:ascii="宋体" w:hAnsi="宋体" w:eastAsia="宋体"/>
          <w:b w:val="0"/>
          <w:color w:val="000000"/>
          <w:sz w:val="21"/>
          <w:szCs w:val="21"/>
          <w:highlight w:val="none"/>
        </w:rPr>
      </w:r>
      <w:r/>
    </w:p>
    <w:p>
      <w:pPr>
        <w:pStyle w:val="1053"/>
        <w:jc w:val="center"/>
        <w:rPr>
          <w:rFonts w:hAnsi="宋体" w:eastAsia="宋体"/>
          <w:b/>
          <w:color w:val="000000"/>
          <w:sz w:val="21"/>
          <w:szCs w:val="21"/>
          <w:highlight w:val="none"/>
        </w:rPr>
      </w:pPr>
      <w:r>
        <w:rPr>
          <w:rFonts w:hAnsi="宋体" w:eastAsia="宋体"/>
          <w:b/>
          <w:color w:val="000000"/>
          <w:sz w:val="21"/>
          <w:szCs w:val="21"/>
          <w:highlight w:val="none"/>
        </w:rPr>
        <w:t xml:space="preserve">投标函</w:t>
      </w:r>
      <w:r>
        <w:rPr>
          <w:rFonts w:hAnsi="宋体" w:eastAsia="宋体"/>
          <w:b/>
          <w:color w:val="000000"/>
          <w:sz w:val="21"/>
          <w:szCs w:val="21"/>
          <w:highlight w:val="none"/>
        </w:rPr>
      </w:r>
      <w:r/>
    </w:p>
    <w:p>
      <w:pPr>
        <w:pStyle w:val="105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5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我们收到贵公司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号招标文件，经仔细阅读和研究，我们同意招标文件的各条款要求并决定参加投标。</w:t>
      </w:r>
      <w:r>
        <w:rPr>
          <w:rFonts w:hAnsi="宋体" w:eastAsia="宋体"/>
          <w:color w:val="000000"/>
          <w:sz w:val="21"/>
          <w:szCs w:val="21"/>
          <w:highlight w:val="none"/>
        </w:rPr>
      </w:r>
      <w:r/>
    </w:p>
    <w:p>
      <w:pPr>
        <w:pStyle w:val="922"/>
        <w:ind w:firstLine="240"/>
        <w:spacing w:line="400" w:lineRule="exact"/>
        <w:rPr>
          <w:rFonts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1、我们愿意按照招标文件的一切要求，提供包括招标书中要求的</w:t>
      </w:r>
      <w:r>
        <w:rPr>
          <w:rFonts w:ascii="宋体" w:hAnsi="宋体"/>
          <w:color w:val="000000"/>
          <w:szCs w:val="21"/>
          <w:highlight w:val="none"/>
          <w:u w:val="single"/>
        </w:rPr>
        <w:t xml:space="preserve">            </w:t>
      </w:r>
      <w:r>
        <w:rPr>
          <w:rFonts w:hint="eastAsia" w:ascii="宋体" w:hAnsi="宋体"/>
          <w:color w:val="000000"/>
          <w:szCs w:val="21"/>
          <w:highlight w:val="none"/>
        </w:rPr>
        <w:t xml:space="preserve">整个工程的安装或指导安装、人工、保险、劳保、各种税费以及质保期间的一切费用。明细见《投标报价表》。</w:t>
      </w:r>
      <w:r>
        <w:rPr>
          <w:rFonts w:ascii="宋体" w:hAnsi="宋体"/>
          <w:color w:val="000000"/>
          <w:szCs w:val="21"/>
          <w:highlight w:val="none"/>
        </w:rPr>
      </w:r>
      <w:r/>
    </w:p>
    <w:p>
      <w:pPr>
        <w:pStyle w:val="105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2、如果我们的投标书被接受，我们将严格履行招标文件中规定的每一项要求，按期、按质、按量履行合同的义务。</w:t>
      </w:r>
      <w:r>
        <w:rPr>
          <w:rFonts w:hAnsi="宋体" w:eastAsia="宋体"/>
          <w:color w:val="000000"/>
          <w:sz w:val="21"/>
          <w:szCs w:val="21"/>
          <w:highlight w:val="none"/>
        </w:rPr>
      </w:r>
      <w:r/>
    </w:p>
    <w:p>
      <w:pPr>
        <w:pStyle w:val="105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3、我们同意按招标文件中的规定，本投标有效期从提交投标文件的截止之日起算后</w:t>
      </w:r>
      <w:r>
        <w:rPr>
          <w:rFonts w:hint="eastAsia" w:hAnsi="宋体" w:eastAsia="宋体"/>
          <w:color w:val="000000"/>
          <w:sz w:val="21"/>
          <w:szCs w:val="21"/>
          <w:highlight w:val="none"/>
        </w:rPr>
        <w:t xml:space="preserve">90</w:t>
      </w:r>
      <w:r>
        <w:rPr>
          <w:rFonts w:hAnsi="宋体" w:eastAsia="宋体"/>
          <w:color w:val="000000"/>
          <w:sz w:val="21"/>
          <w:szCs w:val="21"/>
          <w:highlight w:val="none"/>
        </w:rPr>
        <w:t xml:space="preserve">天。</w:t>
      </w:r>
      <w:r>
        <w:rPr>
          <w:rFonts w:hAnsi="宋体" w:eastAsia="宋体"/>
          <w:color w:val="000000"/>
          <w:sz w:val="21"/>
          <w:szCs w:val="21"/>
          <w:highlight w:val="none"/>
        </w:rPr>
      </w:r>
      <w:r/>
    </w:p>
    <w:p>
      <w:pPr>
        <w:pStyle w:val="105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4、我们愿意提供招标代理人在招标文件中要求的所有资料。</w:t>
      </w:r>
      <w:r>
        <w:rPr>
          <w:rFonts w:hAnsi="宋体" w:eastAsia="宋体"/>
          <w:color w:val="000000"/>
          <w:sz w:val="21"/>
          <w:szCs w:val="21"/>
          <w:highlight w:val="none"/>
        </w:rPr>
      </w:r>
      <w:r/>
    </w:p>
    <w:p>
      <w:pPr>
        <w:pStyle w:val="105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5、我们认为你们有权决定中标者，还认为你们有权接受或拒绝所有的投标者。</w:t>
      </w:r>
      <w:r>
        <w:rPr>
          <w:rFonts w:hAnsi="宋体" w:eastAsia="宋体"/>
          <w:color w:val="000000"/>
          <w:sz w:val="21"/>
          <w:szCs w:val="21"/>
          <w:highlight w:val="none"/>
        </w:rPr>
      </w:r>
      <w:r/>
    </w:p>
    <w:p>
      <w:pPr>
        <w:pStyle w:val="105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6、我们承诺该项投标在开标后的全过程中保持有效，不作任何更改和变动。</w:t>
      </w:r>
      <w:r>
        <w:rPr>
          <w:rFonts w:hAnsi="宋体" w:eastAsia="宋体"/>
          <w:color w:val="000000"/>
          <w:sz w:val="21"/>
          <w:szCs w:val="21"/>
          <w:highlight w:val="none"/>
        </w:rPr>
      </w:r>
      <w:r/>
    </w:p>
    <w:p>
      <w:pPr>
        <w:pStyle w:val="1236"/>
        <w:ind w:firstLine="480"/>
        <w:jc w:val="both"/>
        <w:spacing w:line="400" w:lineRule="exact"/>
        <w:widowControl w:val="off"/>
        <w:rPr>
          <w:rFonts w:hAnsi="宋体" w:eastAsia="宋体"/>
          <w:color w:val="000000"/>
          <w:sz w:val="21"/>
          <w:szCs w:val="21"/>
          <w:highlight w:val="none"/>
        </w:rPr>
      </w:pPr>
      <w:r>
        <w:rPr>
          <w:rFonts w:hint="eastAsia" w:hAnsi="宋体" w:eastAsia="宋体"/>
          <w:color w:val="000000"/>
          <w:sz w:val="21"/>
          <w:szCs w:val="21"/>
          <w:highlight w:val="none"/>
        </w:rPr>
        <w:t xml:space="preserve">7</w:t>
      </w:r>
      <w:r>
        <w:rPr>
          <w:rFonts w:hAnsi="宋体" w:eastAsia="宋体"/>
          <w:color w:val="000000"/>
          <w:sz w:val="21"/>
          <w:szCs w:val="21"/>
          <w:highlight w:val="none"/>
        </w:rPr>
        <w:t xml:space="preserve">、如果我们中标，我们愿意在签订合同时按</w:t>
      </w:r>
      <w:r>
        <w:rPr>
          <w:rFonts w:hint="eastAsia" w:hAnsi="宋体" w:eastAsia="宋体"/>
          <w:color w:val="000000"/>
          <w:sz w:val="21"/>
          <w:szCs w:val="21"/>
          <w:highlight w:val="none"/>
        </w:rPr>
        <w:t xml:space="preserve">招标文件要求</w:t>
      </w:r>
      <w:r>
        <w:rPr>
          <w:rFonts w:hAnsi="宋体" w:eastAsia="宋体"/>
          <w:color w:val="000000"/>
          <w:sz w:val="21"/>
          <w:szCs w:val="21"/>
          <w:highlight w:val="none"/>
        </w:rPr>
        <w:t xml:space="preserve">支付履约保证金。</w:t>
      </w:r>
      <w:r>
        <w:rPr>
          <w:rFonts w:hAnsi="宋体" w:eastAsia="宋体"/>
          <w:color w:val="000000"/>
          <w:sz w:val="21"/>
          <w:szCs w:val="21"/>
          <w:highlight w:val="none"/>
        </w:rPr>
      </w:r>
      <w:r/>
    </w:p>
    <w:p>
      <w:pPr>
        <w:pStyle w:val="1053"/>
        <w:ind w:firstLine="472"/>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8</w:t>
      </w:r>
      <w:r>
        <w:rPr>
          <w:rFonts w:hAnsi="宋体" w:eastAsia="宋体"/>
          <w:color w:val="000000"/>
          <w:sz w:val="21"/>
          <w:szCs w:val="21"/>
          <w:highlight w:val="none"/>
        </w:rPr>
        <w:t xml:space="preserve">、综合说明：</w:t>
      </w:r>
      <w:r>
        <w:rPr>
          <w:rFonts w:hAnsi="宋体" w:eastAsia="宋体"/>
          <w:color w:val="000000"/>
          <w:sz w:val="21"/>
          <w:szCs w:val="21"/>
          <w:highlight w:val="none"/>
        </w:rPr>
      </w:r>
      <w:r/>
    </w:p>
    <w:p>
      <w:pPr>
        <w:pStyle w:val="1053"/>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（1）伴随服务及配合措施；</w:t>
      </w:r>
      <w:r>
        <w:rPr>
          <w:rFonts w:hAnsi="宋体" w:eastAsia="宋体"/>
          <w:color w:val="000000"/>
          <w:sz w:val="21"/>
          <w:szCs w:val="21"/>
          <w:highlight w:val="none"/>
        </w:rPr>
      </w:r>
      <w:r/>
    </w:p>
    <w:p>
      <w:pPr>
        <w:pStyle w:val="1053"/>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（2）要求甲方提供的配合；</w:t>
      </w:r>
      <w:r>
        <w:rPr>
          <w:rFonts w:hAnsi="宋体" w:eastAsia="宋体"/>
          <w:color w:val="000000"/>
          <w:sz w:val="21"/>
          <w:szCs w:val="21"/>
          <w:highlight w:val="none"/>
        </w:rPr>
      </w:r>
      <w:r/>
    </w:p>
    <w:p>
      <w:pPr>
        <w:pStyle w:val="1053"/>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（3）对招标文件有不同意见的偏离说明；</w:t>
      </w:r>
      <w:r>
        <w:rPr>
          <w:rFonts w:hAnsi="宋体" w:eastAsia="宋体"/>
          <w:color w:val="000000"/>
          <w:sz w:val="21"/>
          <w:szCs w:val="21"/>
          <w:highlight w:val="none"/>
        </w:rPr>
      </w:r>
      <w:r/>
    </w:p>
    <w:p>
      <w:pPr>
        <w:pStyle w:val="1053"/>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（4）其它说明。</w:t>
      </w:r>
      <w:r>
        <w:rPr>
          <w:rFonts w:hAnsi="宋体" w:eastAsia="宋体"/>
          <w:color w:val="000000"/>
          <w:sz w:val="21"/>
          <w:szCs w:val="21"/>
          <w:highlight w:val="none"/>
        </w:rPr>
      </w:r>
      <w:r/>
    </w:p>
    <w:p>
      <w:pPr>
        <w:pStyle w:val="1053"/>
        <w:ind w:firstLine="480"/>
        <w:spacing w:line="400" w:lineRule="exact"/>
        <w:rPr>
          <w:rFonts w:hint="eastAsia" w:hAnsi="宋体" w:eastAsia="宋体"/>
          <w:color w:val="000000"/>
          <w:sz w:val="21"/>
          <w:szCs w:val="21"/>
          <w:highlight w:val="none"/>
        </w:rPr>
      </w:pPr>
      <w:r>
        <w:rPr>
          <w:rFonts w:hAnsi="宋体" w:eastAsia="宋体"/>
          <w:color w:val="000000"/>
          <w:sz w:val="21"/>
          <w:szCs w:val="21"/>
          <w:highlight w:val="none"/>
        </w:rPr>
        <w:t xml:space="preserve">所有有关标书的函电，请按下列地址联系：</w:t>
      </w:r>
      <w:r>
        <w:rPr>
          <w:rFonts w:hint="eastAsia" w:hAnsi="宋体" w:eastAsia="宋体"/>
          <w:color w:val="000000"/>
          <w:sz w:val="21"/>
          <w:szCs w:val="21"/>
          <w:highlight w:val="none"/>
        </w:rPr>
      </w:r>
      <w:r/>
    </w:p>
    <w:p>
      <w:pPr>
        <w:pStyle w:val="1053"/>
        <w:ind w:firstLine="480"/>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05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单位：</w:t>
      </w:r>
      <w:r>
        <w:rPr>
          <w:rFonts w:hAnsi="宋体" w:eastAsia="宋体"/>
          <w:color w:val="000000"/>
          <w:sz w:val="21"/>
          <w:szCs w:val="21"/>
          <w:highlight w:val="none"/>
        </w:rPr>
      </w:r>
      <w:r/>
    </w:p>
    <w:p>
      <w:pPr>
        <w:pStyle w:val="105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联系人：</w:t>
      </w:r>
      <w:r>
        <w:rPr>
          <w:rFonts w:hAnsi="宋体" w:eastAsia="宋体"/>
          <w:color w:val="000000"/>
          <w:sz w:val="21"/>
          <w:szCs w:val="21"/>
          <w:highlight w:val="none"/>
        </w:rPr>
      </w:r>
      <w:r/>
    </w:p>
    <w:p>
      <w:pPr>
        <w:pStyle w:val="105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地址：</w:t>
      </w:r>
      <w:r>
        <w:rPr>
          <w:rFonts w:hAnsi="宋体" w:eastAsia="宋体"/>
          <w:color w:val="000000"/>
          <w:sz w:val="21"/>
          <w:szCs w:val="21"/>
          <w:highlight w:val="none"/>
        </w:rPr>
      </w:r>
      <w:r/>
    </w:p>
    <w:p>
      <w:pPr>
        <w:pStyle w:val="105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邮政编码：</w:t>
      </w:r>
      <w:r>
        <w:rPr>
          <w:rFonts w:hAnsi="宋体" w:eastAsia="宋体"/>
          <w:color w:val="000000"/>
          <w:sz w:val="21"/>
          <w:szCs w:val="21"/>
          <w:highlight w:val="none"/>
        </w:rPr>
      </w:r>
      <w:r/>
    </w:p>
    <w:p>
      <w:pPr>
        <w:pStyle w:val="105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联系电话：</w:t>
      </w:r>
      <w:r>
        <w:rPr>
          <w:rFonts w:hAnsi="宋体" w:eastAsia="宋体"/>
          <w:color w:val="000000"/>
          <w:sz w:val="21"/>
          <w:szCs w:val="21"/>
          <w:highlight w:val="none"/>
        </w:rPr>
      </w:r>
      <w:r/>
    </w:p>
    <w:p>
      <w:pPr>
        <w:pStyle w:val="105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传真：</w:t>
      </w:r>
      <w:r>
        <w:rPr>
          <w:rFonts w:hAnsi="宋体" w:eastAsia="宋体"/>
          <w:color w:val="000000"/>
          <w:sz w:val="21"/>
          <w:szCs w:val="21"/>
          <w:highlight w:val="none"/>
        </w:rPr>
      </w:r>
      <w:r/>
    </w:p>
    <w:p>
      <w:pPr>
        <w:pStyle w:val="1053"/>
        <w:ind w:left="3400" w:firstLine="425"/>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投标人：（单位盖章）</w:t>
      </w:r>
      <w:r>
        <w:rPr>
          <w:rFonts w:hAnsi="宋体" w:eastAsia="宋体"/>
          <w:color w:val="000000"/>
          <w:sz w:val="21"/>
          <w:szCs w:val="21"/>
          <w:highlight w:val="none"/>
        </w:rPr>
      </w:r>
      <w:r/>
    </w:p>
    <w:p>
      <w:pPr>
        <w:pStyle w:val="1053"/>
        <w:ind w:left="3825"/>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法定代表人或被授权人：（签字或盖章）</w:t>
      </w:r>
      <w:r>
        <w:rPr>
          <w:rFonts w:hAnsi="宋体" w:eastAsia="宋体"/>
          <w:color w:val="000000"/>
          <w:sz w:val="21"/>
          <w:szCs w:val="21"/>
          <w:highlight w:val="none"/>
        </w:rPr>
      </w:r>
      <w:r/>
    </w:p>
    <w:p>
      <w:pPr>
        <w:pStyle w:val="1053"/>
        <w:ind w:firstLine="46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年     月     日</w:t>
      </w:r>
      <w:r>
        <w:rPr>
          <w:rFonts w:hAnsi="宋体" w:eastAsia="宋体"/>
          <w:color w:val="000000"/>
          <w:sz w:val="21"/>
          <w:szCs w:val="21"/>
          <w:highlight w:val="none"/>
        </w:rPr>
      </w:r>
      <w:r/>
    </w:p>
    <w:p>
      <w:pPr>
        <w:pStyle w:val="1053"/>
        <w:ind w:firstLine="4620"/>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053"/>
        <w:ind w:firstLine="4620"/>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924"/>
        <w:ind w:firstLine="200"/>
        <w:spacing w:line="360" w:lineRule="auto"/>
        <w:rPr>
          <w:rFonts w:hint="eastAsia" w:ascii="宋体" w:hAnsi="宋体" w:eastAsia="宋体"/>
          <w:sz w:val="21"/>
          <w:szCs w:val="21"/>
          <w:highlight w:val="none"/>
        </w:rPr>
      </w:pPr>
      <w:r/>
      <w:bookmarkStart w:id="30" w:name="_Toc497431309"/>
      <w:r/>
      <w:bookmarkStart w:id="31" w:name="_Ref343881459"/>
      <w:r/>
      <w:bookmarkStart w:id="32" w:name="_Toc178063802"/>
      <w:r>
        <w:rPr>
          <w:rFonts w:ascii="宋体" w:hAnsi="宋体" w:eastAsia="宋体"/>
          <w:color w:val="000000"/>
          <w:sz w:val="21"/>
          <w:szCs w:val="21"/>
          <w:highlight w:val="none"/>
        </w:rPr>
        <w:t xml:space="preserve">开标一览表</w:t>
      </w:r>
      <w:bookmarkEnd w:id="30"/>
      <w:r/>
      <w:bookmarkEnd w:id="31"/>
      <w:r/>
      <w:bookmarkEnd w:id="32"/>
      <w:r>
        <w:rPr>
          <w:rFonts w:hint="eastAsia" w:ascii="宋体" w:hAnsi="宋体" w:eastAsia="宋体"/>
          <w:sz w:val="21"/>
          <w:szCs w:val="21"/>
          <w:highlight w:val="none"/>
        </w:rPr>
      </w:r>
      <w:r/>
    </w:p>
    <w:p>
      <w:pPr>
        <w:pStyle w:val="1053"/>
        <w:ind w:firstLine="200"/>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22"/>
        <w:jc w:val="center"/>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开标一览表（</w:t>
      </w:r>
      <w:r>
        <w:rPr>
          <w:rFonts w:hint="eastAsia" w:ascii="宋体" w:hAnsi="宋体" w:cs="宋体"/>
          <w:sz w:val="24"/>
          <w:highlight w:val="none"/>
        </w:rPr>
        <w:t xml:space="preserve">单</w:t>
      </w:r>
      <w:r>
        <w:rPr>
          <w:rFonts w:ascii="宋体" w:hAnsi="宋体" w:cs="宋体"/>
          <w:sz w:val="24"/>
          <w:highlight w:val="none"/>
        </w:rPr>
        <w:t xml:space="preserve">价）</w:t>
      </w:r>
      <w:r>
        <w:rPr>
          <w:rFonts w:ascii="宋体" w:hAnsi="宋体" w:cs="宋体"/>
          <w:sz w:val="24"/>
          <w:highlight w:val="none"/>
        </w:rPr>
      </w:r>
      <w:r/>
    </w:p>
    <w:p>
      <w:pPr>
        <w:pStyle w:val="922"/>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投标人全称（加盖公章）： </w:t>
      </w:r>
      <w:r>
        <w:rPr>
          <w:rFonts w:ascii="宋体" w:hAnsi="宋体" w:cs="宋体"/>
          <w:sz w:val="24"/>
          <w:highlight w:val="none"/>
        </w:rPr>
      </w:r>
      <w:r/>
    </w:p>
    <w:p>
      <w:pPr>
        <w:pStyle w:val="922"/>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项目编号： </w:t>
      </w:r>
      <w:r>
        <w:rPr>
          <w:rFonts w:ascii="宋体" w:hAnsi="宋体" w:cs="宋体"/>
          <w:sz w:val="24"/>
          <w:highlight w:val="none"/>
        </w:rPr>
      </w:r>
      <w:r/>
    </w:p>
    <w:p>
      <w:pPr>
        <w:pStyle w:val="922"/>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分包号：</w:t>
      </w:r>
      <w:r>
        <w:rPr>
          <w:rFonts w:ascii="宋体" w:hAnsi="宋体" w:cs="宋体"/>
          <w:sz w:val="24"/>
          <w:highlight w:val="none"/>
        </w:rPr>
      </w:r>
      <w:r/>
    </w:p>
    <w:tbl>
      <w:tblPr>
        <w:tblW w:w="4586"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W w:w="2198" w:type="dxa"/>
            <w:vAlign w:val="center"/>
            <w:textDirection w:val="lrTb"/>
            <w:noWrap w:val="false"/>
          </w:tcPr>
          <w:p>
            <w:pPr>
              <w:pStyle w:val="922"/>
              <w:jc w:val="left"/>
              <w:widowControl/>
              <w:rPr>
                <w:rFonts w:ascii="宋体" w:hAnsi="宋体" w:cs="宋体"/>
                <w:sz w:val="24"/>
                <w:highlight w:val="none"/>
              </w:rPr>
            </w:pPr>
            <w:r>
              <w:rPr>
                <w:rFonts w:ascii="宋体" w:hAnsi="宋体" w:cs="宋体"/>
                <w:sz w:val="24"/>
                <w:highlight w:val="none"/>
              </w:rPr>
              <w:t xml:space="preserve">项目名称</w:t>
            </w:r>
            <w:r>
              <w:rPr>
                <w:rFonts w:ascii="宋体" w:hAnsi="宋体" w:cs="宋体"/>
                <w:sz w:val="24"/>
                <w:highlight w:val="none"/>
              </w:rPr>
            </w:r>
            <w:r/>
          </w:p>
        </w:tc>
        <w:tc>
          <w:tcPr>
            <w:tcW w:w="2684" w:type="dxa"/>
            <w:vAlign w:val="center"/>
            <w:textDirection w:val="lrTb"/>
            <w:noWrap w:val="false"/>
          </w:tcPr>
          <w:p>
            <w:pPr>
              <w:pStyle w:val="922"/>
              <w:jc w:val="left"/>
              <w:widowControl/>
              <w:rPr>
                <w:rFonts w:ascii="宋体" w:hAnsi="宋体" w:cs="宋体"/>
                <w:sz w:val="24"/>
                <w:highlight w:val="none"/>
              </w:rPr>
            </w:pPr>
            <w:r>
              <w:rPr>
                <w:rFonts w:ascii="宋体" w:hAnsi="宋体" w:cs="宋体"/>
                <w:sz w:val="24"/>
                <w:highlight w:val="none"/>
              </w:rPr>
              <w:t xml:space="preserve">投标</w:t>
            </w:r>
            <w:r>
              <w:rPr>
                <w:rFonts w:hint="eastAsia" w:ascii="宋体" w:hAnsi="宋体" w:cs="宋体"/>
                <w:sz w:val="24"/>
                <w:highlight w:val="none"/>
              </w:rPr>
              <w:t xml:space="preserve">单</w:t>
            </w:r>
            <w:r>
              <w:rPr>
                <w:rFonts w:ascii="宋体" w:hAnsi="宋体" w:cs="宋体"/>
                <w:sz w:val="24"/>
                <w:highlight w:val="none"/>
              </w:rPr>
              <w:t xml:space="preserve">价</w:t>
            </w:r>
            <w:r>
              <w:rPr>
                <w:rFonts w:ascii="宋体" w:hAnsi="宋体" w:cs="宋体"/>
                <w:sz w:val="24"/>
                <w:highlight w:val="none"/>
              </w:rPr>
            </w:r>
            <w:r/>
          </w:p>
        </w:tc>
      </w:tr>
      <w:tr>
        <w:trPr/>
        <w:tc>
          <w:tcPr>
            <w:tcW w:w="2198" w:type="dxa"/>
            <w:vAlign w:val="center"/>
            <w:textDirection w:val="lrTb"/>
            <w:noWrap w:val="false"/>
          </w:tcPr>
          <w:p>
            <w:pPr>
              <w:pStyle w:val="922"/>
              <w:jc w:val="left"/>
              <w:widowControl/>
              <w:rPr>
                <w:rFonts w:ascii="宋体" w:hAnsi="宋体" w:cs="宋体"/>
                <w:sz w:val="24"/>
                <w:highlight w:val="none"/>
              </w:rPr>
            </w:pPr>
            <w:r>
              <w:rPr>
                <w:rFonts w:ascii="宋体" w:hAnsi="宋体" w:cs="宋体"/>
                <w:sz w:val="24"/>
                <w:highlight w:val="none"/>
              </w:rPr>
              <w:t xml:space="preserve">项目名称 </w:t>
            </w:r>
            <w:r>
              <w:rPr>
                <w:rFonts w:ascii="宋体" w:hAnsi="宋体" w:cs="宋体"/>
                <w:sz w:val="24"/>
                <w:highlight w:val="none"/>
              </w:rPr>
            </w:r>
            <w:r/>
          </w:p>
        </w:tc>
        <w:tc>
          <w:tcPr>
            <w:tcW w:w="2684" w:type="dxa"/>
            <w:vAlign w:val="center"/>
            <w:textDirection w:val="lrTb"/>
            <w:noWrap w:val="false"/>
          </w:tcPr>
          <w:p>
            <w:pPr>
              <w:pStyle w:val="922"/>
              <w:jc w:val="left"/>
              <w:widowControl/>
              <w:rPr>
                <w:rFonts w:ascii="宋体" w:hAnsi="宋体" w:cs="宋体"/>
                <w:sz w:val="24"/>
                <w:highlight w:val="none"/>
              </w:rPr>
            </w:pPr>
            <w:r>
              <w:rPr>
                <w:rFonts w:ascii="宋体" w:hAnsi="宋体" w:cs="宋体"/>
                <w:sz w:val="24"/>
                <w:highlight w:val="none"/>
              </w:rPr>
              <w:t xml:space="preserve">小写：</w:t>
            </w:r>
            <w:r>
              <w:rPr>
                <w:rFonts w:ascii="宋体" w:hAnsi="宋体" w:cs="宋体"/>
                <w:sz w:val="24"/>
                <w:highlight w:val="none"/>
              </w:rPr>
              <w:fldChar w:fldCharType="begin"/>
            </w:r>
            <w:r>
              <w:rPr>
                <w:rFonts w:ascii="宋体" w:hAnsi="宋体" w:cs="宋体"/>
                <w:sz w:val="24"/>
                <w:highlight w:val="none"/>
              </w:rPr>
              <w:instrText xml:space="preserve"> CONTROL Forms.HTML:Text.1 \s </w:instrText>
            </w:r>
            <w:r>
              <w:rPr>
                <w:rFonts w:ascii="宋体" w:hAnsi="宋体" w:cs="宋体"/>
                <w:sz w:val="24"/>
                <w:highlight w:val="none"/>
              </w:rPr>
              <w:fldChar w:fldCharType="separate"/>
            </w:r>
            <w:r>
              <w:rPr>
                <w:rFonts w:ascii="宋体" w:hAnsi="宋体" w:cs="宋体"/>
                <w:sz w:val="24"/>
                <w:highlight w:val="none"/>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6" o:title=""/>
                    </v:shape>
                  </w:pict>
                </mc:Fallback>
              </mc:AlternateContent>
            </w:r>
            <w:r>
              <w:rPr>
                <w:rFonts w:ascii="宋体" w:hAnsi="宋体" w:cs="宋体"/>
                <w:sz w:val="24"/>
                <w:highlight w:val="none"/>
              </w:rPr>
              <w:fldChar w:fldCharType="end"/>
            </w:r>
            <w:r>
              <w:rPr>
                <w:rFonts w:ascii="宋体" w:hAnsi="宋体" w:cs="宋体"/>
                <w:sz w:val="24"/>
                <w:highlight w:val="none"/>
              </w:rPr>
              <w:t xml:space="preserve">   元</w:t>
            </w:r>
            <w:r>
              <w:rPr>
                <w:rFonts w:ascii="宋体" w:hAnsi="宋体" w:cs="宋体"/>
                <w:sz w:val="24"/>
                <w:highlight w:val="none"/>
              </w:rPr>
            </w:r>
            <w:r/>
          </w:p>
        </w:tc>
      </w:tr>
      <w:tr>
        <w:trPr/>
        <w:tc>
          <w:tcPr>
            <w:tcW w:w="2198" w:type="dxa"/>
            <w:vAlign w:val="center"/>
            <w:textDirection w:val="lrTb"/>
            <w:noWrap w:val="false"/>
          </w:tcPr>
          <w:p>
            <w:pPr>
              <w:pStyle w:val="922"/>
              <w:jc w:val="left"/>
              <w:widowControl/>
              <w:rPr>
                <w:rFonts w:ascii="宋体" w:hAnsi="宋体" w:cs="宋体"/>
                <w:sz w:val="24"/>
                <w:highlight w:val="none"/>
              </w:rPr>
            </w:pPr>
            <w:r>
              <w:rPr>
                <w:rFonts w:ascii="宋体" w:hAnsi="宋体" w:cs="宋体"/>
                <w:sz w:val="24"/>
                <w:highlight w:val="none"/>
              </w:rPr>
              <w:t xml:space="preserve">投标</w:t>
            </w:r>
            <w:r>
              <w:rPr>
                <w:rFonts w:hint="eastAsia" w:ascii="宋体" w:hAnsi="宋体" w:cs="宋体"/>
                <w:sz w:val="24"/>
                <w:highlight w:val="none"/>
              </w:rPr>
              <w:t xml:space="preserve">单</w:t>
            </w:r>
            <w:r>
              <w:rPr>
                <w:rFonts w:ascii="宋体" w:hAnsi="宋体" w:cs="宋体"/>
                <w:sz w:val="24"/>
                <w:highlight w:val="none"/>
              </w:rPr>
              <w:t xml:space="preserve">价大写金额</w:t>
            </w:r>
            <w:r>
              <w:rPr>
                <w:rFonts w:ascii="宋体" w:hAnsi="宋体" w:cs="宋体"/>
                <w:sz w:val="24"/>
                <w:highlight w:val="none"/>
              </w:rPr>
            </w:r>
            <w:r/>
          </w:p>
        </w:tc>
        <w:tc>
          <w:tcPr>
            <w:tcW w:w="2684" w:type="dxa"/>
            <w:vAlign w:val="center"/>
            <w:textDirection w:val="lrTb"/>
            <w:noWrap w:val="false"/>
          </w:tcPr>
          <w:p>
            <w:pPr>
              <w:pStyle w:val="922"/>
              <w:jc w:val="left"/>
              <w:widowControl/>
              <w:rPr>
                <w:rFonts w:ascii="宋体" w:hAnsi="宋体" w:cs="宋体"/>
                <w:sz w:val="24"/>
                <w:highlight w:val="none"/>
              </w:rPr>
            </w:pPr>
            <w:r>
              <w:rPr>
                <w:rFonts w:ascii="宋体" w:hAnsi="宋体" w:cs="宋体"/>
                <w:sz w:val="24"/>
                <w:highlight w:val="none"/>
              </w:rPr>
              <w:t xml:space="preserve">金额大写 </w:t>
            </w:r>
            <w:r>
              <w:rPr>
                <w:rFonts w:ascii="宋体" w:hAnsi="宋体" w:cs="宋体"/>
                <w:sz w:val="24"/>
                <w:highlight w:val="none"/>
              </w:rPr>
            </w:r>
            <w:r/>
          </w:p>
        </w:tc>
      </w:tr>
    </w:tbl>
    <w:p>
      <w:pPr>
        <w:pStyle w:val="922"/>
        <w:jc w:val="righ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日期：</w:t>
      </w:r>
      <w:r>
        <w:rPr>
          <w:rFonts w:ascii="宋体" w:hAnsi="宋体" w:cs="宋体"/>
          <w:sz w:val="24"/>
          <w:highlight w:val="none"/>
        </w:rPr>
        <w:fldChar w:fldCharType="begin"/>
      </w:r>
      <w:r>
        <w:rPr>
          <w:rFonts w:ascii="宋体" w:hAnsi="宋体" w:cs="宋体"/>
          <w:sz w:val="24"/>
          <w:highlight w:val="none"/>
        </w:rPr>
        <w:instrText xml:space="preserve"> CONTROL Forms.HTML:Text.1 \s </w:instrText>
      </w:r>
      <w:r>
        <w:rPr>
          <w:rFonts w:ascii="宋体" w:hAnsi="宋体" w:cs="宋体"/>
          <w:sz w:val="24"/>
          <w:highlight w:val="none"/>
        </w:rPr>
        <w:fldChar w:fldCharType="separate"/>
      </w:r>
      <w:r>
        <w:rPr>
          <w:rFonts w:ascii="宋体" w:hAnsi="宋体" w:cs="宋体"/>
          <w:sz w:val="24"/>
          <w:highlight w:val="none"/>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sz w:val="24"/>
          <w:highlight w:val="none"/>
        </w:rPr>
        <w:fldChar w:fldCharType="end"/>
      </w:r>
      <w:r>
        <w:rPr>
          <w:rFonts w:ascii="宋体" w:hAnsi="宋体" w:cs="宋体"/>
          <w:sz w:val="24"/>
          <w:highlight w:val="none"/>
        </w:rPr>
        <w:t xml:space="preserve">  年 </w:t>
      </w:r>
      <w:r>
        <w:rPr>
          <w:rFonts w:ascii="宋体" w:hAnsi="宋体" w:cs="宋体"/>
          <w:sz w:val="24"/>
          <w:highlight w:val="none"/>
        </w:rPr>
        <w:fldChar w:fldCharType="begin"/>
      </w:r>
      <w:r>
        <w:rPr>
          <w:rFonts w:ascii="宋体" w:hAnsi="宋体" w:cs="宋体"/>
          <w:sz w:val="24"/>
          <w:highlight w:val="none"/>
        </w:rPr>
        <w:instrText xml:space="preserve"> CONTROL Forms.HTML:Text.1 \s </w:instrText>
      </w:r>
      <w:r>
        <w:rPr>
          <w:rFonts w:ascii="宋体" w:hAnsi="宋体" w:cs="宋体"/>
          <w:sz w:val="24"/>
          <w:highlight w:val="none"/>
        </w:rPr>
        <w:fldChar w:fldCharType="separate"/>
      </w:r>
      <w:r>
        <w:rPr>
          <w:rFonts w:ascii="宋体" w:hAnsi="宋体" w:cs="宋体"/>
          <w:sz w:val="24"/>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highlight w:val="none"/>
        </w:rPr>
        <w:fldChar w:fldCharType="end"/>
      </w:r>
      <w:r>
        <w:rPr>
          <w:rFonts w:ascii="宋体" w:hAnsi="宋体" w:cs="宋体"/>
          <w:sz w:val="24"/>
          <w:highlight w:val="none"/>
        </w:rPr>
        <w:t xml:space="preserve">  月 </w:t>
      </w:r>
      <w:r>
        <w:rPr>
          <w:rFonts w:ascii="宋体" w:hAnsi="宋体" w:cs="宋体"/>
          <w:sz w:val="24"/>
          <w:highlight w:val="none"/>
        </w:rPr>
        <w:fldChar w:fldCharType="begin"/>
      </w:r>
      <w:r>
        <w:rPr>
          <w:rFonts w:ascii="宋体" w:hAnsi="宋体" w:cs="宋体"/>
          <w:sz w:val="24"/>
          <w:highlight w:val="none"/>
        </w:rPr>
        <w:instrText xml:space="preserve"> CONTROL Forms.HTML:Text.1 \s </w:instrText>
      </w:r>
      <w:r>
        <w:rPr>
          <w:rFonts w:ascii="宋体" w:hAnsi="宋体" w:cs="宋体"/>
          <w:sz w:val="24"/>
          <w:highlight w:val="none"/>
        </w:rPr>
        <w:fldChar w:fldCharType="separate"/>
      </w:r>
      <w:r>
        <w:rPr>
          <w:rFonts w:ascii="宋体" w:hAnsi="宋体" w:cs="宋体"/>
          <w:sz w:val="24"/>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9" o:title=""/>
              </v:shape>
            </w:pict>
          </mc:Fallback>
        </mc:AlternateContent>
      </w:r>
      <w:r>
        <w:rPr>
          <w:rFonts w:ascii="宋体" w:hAnsi="宋体" w:cs="宋体"/>
          <w:sz w:val="24"/>
          <w:highlight w:val="none"/>
        </w:rPr>
        <w:fldChar w:fldCharType="end"/>
      </w:r>
      <w:r>
        <w:rPr>
          <w:rFonts w:ascii="宋体" w:hAnsi="宋体" w:cs="宋体"/>
          <w:sz w:val="24"/>
          <w:highlight w:val="none"/>
        </w:rPr>
        <w:t xml:space="preserve">  日</w:t>
      </w:r>
      <w:r>
        <w:rPr>
          <w:rFonts w:ascii="宋体" w:hAnsi="宋体" w:cs="宋体"/>
          <w:sz w:val="24"/>
          <w:highlight w:val="none"/>
        </w:rPr>
      </w:r>
      <w:r/>
    </w:p>
    <w:p>
      <w:pPr>
        <w:pStyle w:val="922"/>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填写说明：</w:t>
      </w:r>
      <w:r>
        <w:rPr>
          <w:rFonts w:ascii="宋体" w:hAnsi="宋体" w:cs="宋体"/>
          <w:sz w:val="24"/>
          <w:highlight w:val="none"/>
        </w:rPr>
      </w:r>
      <w:r/>
    </w:p>
    <w:p>
      <w:pPr>
        <w:pStyle w:val="922"/>
        <w:jc w:val="left"/>
        <w:spacing w:before="100" w:beforeAutospacing="1" w:after="100" w:afterAutospacing="1"/>
        <w:widowControl/>
        <w:rPr>
          <w:rFonts w:ascii="宋体" w:hAnsi="宋体" w:cs="宋体"/>
          <w:sz w:val="24"/>
          <w:highlight w:val="none"/>
        </w:rPr>
      </w:pPr>
      <w:r>
        <w:rPr>
          <w:rFonts w:ascii="宋体" w:hAnsi="宋体" w:cs="宋体"/>
          <w:i/>
          <w:iCs/>
          <w:sz w:val="24"/>
          <w:highlight w:val="none"/>
          <w:u w:val="single"/>
        </w:rPr>
        <w:t xml:space="preserve">1、开标一览表必须加盖投标人公章（复印件无效）。</w:t>
      </w:r>
      <w:r>
        <w:rPr>
          <w:rFonts w:ascii="宋体" w:hAnsi="宋体" w:cs="宋体"/>
          <w:sz w:val="24"/>
          <w:highlight w:val="none"/>
        </w:rPr>
      </w:r>
      <w:r/>
    </w:p>
    <w:p>
      <w:pPr>
        <w:pStyle w:val="922"/>
        <w:jc w:val="left"/>
        <w:spacing w:before="100" w:beforeAutospacing="1" w:after="100" w:afterAutospacing="1"/>
        <w:widowControl/>
        <w:rPr>
          <w:rFonts w:ascii="宋体" w:hAnsi="宋体" w:cs="宋体"/>
          <w:sz w:val="24"/>
          <w:highlight w:val="none"/>
        </w:rPr>
      </w:pPr>
      <w:r>
        <w:rPr>
          <w:rFonts w:ascii="宋体" w:hAnsi="宋体" w:cs="宋体"/>
          <w:i/>
          <w:iCs/>
          <w:sz w:val="24"/>
          <w:highlight w:val="none"/>
          <w:u w:val="single"/>
        </w:rPr>
        <w:t xml:space="preserve">2、如有分包，投标人投任何一个包的标的，都需单独填写开标一览表。</w:t>
      </w:r>
      <w:r>
        <w:rPr>
          <w:rFonts w:ascii="宋体" w:hAnsi="宋体" w:cs="宋体"/>
          <w:sz w:val="24"/>
          <w:highlight w:val="none"/>
        </w:rPr>
      </w:r>
      <w:r/>
    </w:p>
    <w:p>
      <w:pPr>
        <w:pStyle w:val="1053"/>
        <w:ind w:firstLine="200"/>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053"/>
        <w:ind w:firstLine="200"/>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922"/>
        <w:ind w:firstLine="200"/>
        <w:spacing w:line="360" w:lineRule="auto"/>
        <w:rPr>
          <w:rFonts w:hint="eastAsia" w:ascii="宋体" w:hAnsi="宋体"/>
          <w:b/>
          <w:szCs w:val="21"/>
          <w:highlight w:val="none"/>
        </w:rPr>
      </w:pPr>
      <w:r>
        <w:rPr>
          <w:rFonts w:hint="eastAsia" w:ascii="宋体" w:hAnsi="宋体"/>
          <w:b/>
          <w:szCs w:val="21"/>
          <w:highlight w:val="none"/>
        </w:rPr>
        <w:t xml:space="preserve">注：</w:t>
      </w:r>
      <w:r>
        <w:rPr>
          <w:rFonts w:hint="eastAsia" w:ascii="宋体" w:hAnsi="宋体"/>
          <w:b/>
          <w:szCs w:val="21"/>
          <w:highlight w:val="none"/>
        </w:rPr>
      </w:r>
      <w:r/>
    </w:p>
    <w:p>
      <w:pPr>
        <w:pStyle w:val="922"/>
        <w:numPr>
          <w:ilvl w:val="0"/>
          <w:numId w:val="3"/>
        </w:numPr>
        <w:ind w:firstLine="200"/>
        <w:spacing w:line="360" w:lineRule="auto"/>
        <w:rPr>
          <w:rFonts w:hint="eastAsia" w:ascii="宋体" w:hAnsi="宋体"/>
          <w:b/>
          <w:szCs w:val="21"/>
          <w:highlight w:val="none"/>
        </w:rPr>
      </w:pPr>
      <w:r>
        <w:rPr>
          <w:rFonts w:hint="eastAsia" w:ascii="宋体" w:hAnsi="宋体"/>
          <w:b/>
          <w:szCs w:val="21"/>
          <w:highlight w:val="none"/>
        </w:rPr>
        <w:t xml:space="preserve">投标人投标报价包含人工，材料，交通税费等一切费用，投标人需要综合考虑，投标人投标报价低于成本价的，属于无效投标。</w:t>
      </w:r>
      <w:r>
        <w:rPr>
          <w:rFonts w:hint="eastAsia" w:ascii="宋体" w:hAnsi="宋体"/>
          <w:b/>
          <w:szCs w:val="21"/>
          <w:highlight w:val="none"/>
        </w:rPr>
      </w:r>
      <w:r/>
    </w:p>
    <w:p>
      <w:pPr>
        <w:pStyle w:val="922"/>
        <w:numPr>
          <w:ilvl w:val="0"/>
          <w:numId w:val="3"/>
        </w:numPr>
        <w:ind w:firstLine="200"/>
        <w:spacing w:line="360" w:lineRule="auto"/>
        <w:rPr>
          <w:rFonts w:hint="eastAsia" w:ascii="宋体" w:hAnsi="宋体"/>
          <w:b/>
          <w:szCs w:val="21"/>
          <w:highlight w:val="none"/>
        </w:rPr>
      </w:pPr>
      <w:r>
        <w:rPr>
          <w:rFonts w:hint="eastAsia" w:ascii="宋体" w:hAnsi="宋体"/>
          <w:b/>
          <w:szCs w:val="21"/>
          <w:highlight w:val="none"/>
        </w:rPr>
        <w:t xml:space="preserve">最高限单价25.07元/份，高于最高限价属于无效投标。</w:t>
      </w:r>
      <w:r>
        <w:rPr>
          <w:rFonts w:hint="eastAsia" w:ascii="宋体" w:hAnsi="宋体"/>
          <w:b/>
          <w:szCs w:val="21"/>
          <w:highlight w:val="none"/>
        </w:rPr>
      </w:r>
      <w:r/>
    </w:p>
    <w:p>
      <w:pPr>
        <w:pStyle w:val="1384"/>
        <w:ind w:firstLine="405"/>
        <w:spacing w:line="360" w:lineRule="auto"/>
        <w:rPr>
          <w:rFonts w:ascii="宋体" w:hAnsi="宋体"/>
          <w:color w:val="000000"/>
          <w:szCs w:val="21"/>
          <w:highlight w:val="none"/>
        </w:rPr>
      </w:pPr>
      <w:r>
        <w:rPr>
          <w:rFonts w:ascii="宋体" w:hAnsi="宋体"/>
          <w:b/>
          <w:szCs w:val="21"/>
          <w:highlight w:val="none"/>
        </w:rPr>
        <w:br w:type="page" w:clear="all"/>
      </w:r>
      <w:r>
        <w:rPr>
          <w:rFonts w:ascii="宋体" w:hAnsi="宋体"/>
          <w:color w:val="000000"/>
          <w:szCs w:val="21"/>
          <w:highlight w:val="none"/>
        </w:rPr>
      </w:r>
      <w:r/>
    </w:p>
    <w:p>
      <w:pPr>
        <w:pStyle w:val="924"/>
        <w:spacing w:line="416" w:lineRule="auto"/>
        <w:rPr>
          <w:rFonts w:ascii="宋体" w:hAnsi="宋体" w:eastAsia="宋体"/>
          <w:color w:val="000000"/>
          <w:sz w:val="21"/>
          <w:szCs w:val="21"/>
          <w:highlight w:val="none"/>
        </w:rPr>
      </w:pPr>
      <w:r/>
      <w:bookmarkStart w:id="33" w:name="_中小企业声明函"/>
      <w:r/>
      <w:bookmarkEnd w:id="33"/>
      <w:r/>
      <w:bookmarkStart w:id="34" w:name="_Ref501489757"/>
      <w:r/>
      <w:bookmarkStart w:id="35" w:name="_Toc178063804"/>
      <w:r>
        <w:rPr>
          <w:rFonts w:ascii="宋体" w:hAnsi="宋体" w:eastAsia="宋体"/>
          <w:color w:val="000000"/>
          <w:sz w:val="21"/>
          <w:szCs w:val="21"/>
          <w:highlight w:val="none"/>
        </w:rPr>
        <w:t xml:space="preserve">中小企业声明函</w:t>
      </w:r>
      <w:bookmarkEnd w:id="34"/>
      <w:r/>
      <w:bookmarkEnd w:id="35"/>
      <w:r>
        <w:rPr>
          <w:rFonts w:ascii="宋体" w:hAnsi="宋体" w:eastAsia="宋体"/>
          <w:color w:val="000000"/>
          <w:sz w:val="21"/>
          <w:szCs w:val="21"/>
          <w:highlight w:val="none"/>
        </w:rPr>
      </w:r>
      <w:r/>
    </w:p>
    <w:p>
      <w:pPr>
        <w:pStyle w:val="1086"/>
        <w:jc w:val="center"/>
        <w:rPr>
          <w:rFonts w:hint="eastAsia" w:hAnsi="宋体" w:eastAsia="宋体"/>
          <w:sz w:val="21"/>
          <w:szCs w:val="21"/>
          <w:highlight w:val="none"/>
        </w:rPr>
      </w:pPr>
      <w:r>
        <w:rPr>
          <w:rFonts w:hAnsi="宋体" w:eastAsia="宋体"/>
          <w:sz w:val="21"/>
          <w:szCs w:val="21"/>
          <w:highlight w:val="none"/>
        </w:rPr>
        <w:t xml:space="preserve">中小企业声明函（工程、服务）</w:t>
      </w:r>
      <w:r>
        <w:rPr>
          <w:rFonts w:hint="eastAsia" w:hAnsi="宋体" w:eastAsia="宋体"/>
          <w:sz w:val="21"/>
          <w:szCs w:val="21"/>
          <w:highlight w:val="none"/>
        </w:rPr>
      </w:r>
      <w:r/>
    </w:p>
    <w:p>
      <w:pPr>
        <w:pStyle w:val="922"/>
        <w:ind w:firstLine="420"/>
        <w:spacing w:line="360" w:lineRule="auto"/>
        <w:rPr>
          <w:rFonts w:hint="eastAsia" w:ascii="宋体" w:hAnsi="宋体"/>
          <w:szCs w:val="21"/>
          <w:highlight w:val="none"/>
          <w:lang w:val="zh-CN"/>
        </w:rPr>
      </w:pPr>
      <w:r>
        <w:rPr>
          <w:rFonts w:ascii="宋体" w:hAnsi="宋体"/>
          <w:szCs w:val="21"/>
          <w:highlight w:val="none"/>
          <w:lang w:val="zh-CN"/>
        </w:rPr>
        <w:t xml:space="preserve">本公</w:t>
      </w:r>
      <w:r>
        <w:rPr>
          <w:rFonts w:hint="eastAsia" w:ascii="宋体" w:hAnsi="宋体"/>
          <w:szCs w:val="21"/>
          <w:highlight w:val="none"/>
          <w:lang w:val="zh-CN"/>
        </w:rPr>
        <w:t xml:space="preserve">司</w:t>
      </w:r>
      <w:r>
        <w:rPr>
          <w:rFonts w:ascii="宋体" w:hAnsi="宋体"/>
          <w:szCs w:val="21"/>
          <w:highlight w:val="none"/>
          <w:lang w:val="zh-CN"/>
        </w:rPr>
        <w:t xml:space="preserve">（联合体）郑重声明，根据《政府采购促进中小 企业发展管理办法》（财库</w:t>
      </w:r>
      <w:r>
        <w:rPr>
          <w:rFonts w:hint="eastAsia" w:ascii="宋体" w:hAnsi="宋体"/>
          <w:szCs w:val="21"/>
          <w:highlight w:val="none"/>
          <w:lang w:val="zh-CN"/>
        </w:rPr>
        <w:t xml:space="preserve">﹝</w:t>
      </w:r>
      <w:r>
        <w:rPr>
          <w:rFonts w:ascii="宋体" w:hAnsi="宋体"/>
          <w:szCs w:val="21"/>
          <w:highlight w:val="none"/>
          <w:lang w:val="zh-CN"/>
        </w:rPr>
        <w:t xml:space="preserve">2020</w:t>
      </w:r>
      <w:r>
        <w:rPr>
          <w:rFonts w:hint="eastAsia" w:ascii="宋体" w:hAnsi="宋体"/>
          <w:szCs w:val="21"/>
          <w:highlight w:val="none"/>
          <w:lang w:val="zh-CN"/>
        </w:rPr>
        <w:t xml:space="preserve">﹞</w:t>
      </w:r>
      <w:r>
        <w:rPr>
          <w:rFonts w:ascii="宋体" w:hAnsi="宋体"/>
          <w:szCs w:val="21"/>
          <w:highlight w:val="none"/>
          <w:lang w:val="zh-CN"/>
        </w:rPr>
        <w:t xml:space="preserve">46 号）的规定，本公司 （联合体）参加</w:t>
      </w:r>
      <w:r>
        <w:rPr>
          <w:rFonts w:ascii="宋体" w:hAnsi="宋体"/>
          <w:szCs w:val="21"/>
          <w:highlight w:val="none"/>
          <w:u w:val="single"/>
          <w:lang w:val="zh-CN"/>
        </w:rPr>
        <w:t xml:space="preserve">（单位名称）</w:t>
      </w:r>
      <w:r>
        <w:rPr>
          <w:rFonts w:ascii="宋体" w:hAnsi="宋体"/>
          <w:szCs w:val="21"/>
          <w:highlight w:val="none"/>
          <w:lang w:val="zh-CN"/>
        </w:rPr>
        <w:t xml:space="preserve">的</w:t>
      </w:r>
      <w:r>
        <w:rPr>
          <w:rFonts w:ascii="宋体" w:hAnsi="宋体"/>
          <w:szCs w:val="21"/>
          <w:highlight w:val="none"/>
          <w:u w:val="single"/>
          <w:lang w:val="zh-CN"/>
        </w:rPr>
        <w:t xml:space="preserve">（项目名称）</w:t>
      </w:r>
      <w:r>
        <w:rPr>
          <w:rFonts w:ascii="宋体" w:hAnsi="宋体"/>
          <w:szCs w:val="21"/>
          <w:highlight w:val="none"/>
          <w:lang w:val="zh-CN"/>
        </w:rPr>
        <w:t xml:space="preserve">采购活动，工 程的施工单位全部为符合政策要求的中小企业（或者：服务 全部由符合政策要求的中小企业承接）。相关企业（含联合 体中的中小企业、签订分包意向协议的中小企业）的具体情 况如下：</w:t>
      </w:r>
      <w:r>
        <w:rPr>
          <w:rFonts w:hint="eastAsia" w:ascii="宋体" w:hAnsi="宋体"/>
          <w:szCs w:val="21"/>
          <w:highlight w:val="none"/>
          <w:lang w:val="zh-CN"/>
        </w:rPr>
      </w:r>
      <w:r/>
    </w:p>
    <w:p>
      <w:pPr>
        <w:pStyle w:val="1175"/>
        <w:ind w:firstLine="420"/>
        <w:spacing w:line="360" w:lineRule="auto"/>
        <w:rPr>
          <w:rFonts w:hint="eastAsia" w:hAnsi="宋体" w:cs="宋体"/>
          <w:szCs w:val="21"/>
          <w:highlight w:val="none"/>
          <w:lang w:val="zh-CN"/>
        </w:rPr>
      </w:pPr>
      <w:r>
        <w:rPr>
          <w:rFonts w:hAnsi="宋体"/>
          <w:szCs w:val="21"/>
          <w:highlight w:val="none"/>
        </w:rPr>
        <w:t xml:space="preserve">1.</w:t>
      </w:r>
      <w:r>
        <w:rPr>
          <w:rFonts w:hint="eastAsia" w:hAnsi="宋体" w:cs="宋体"/>
          <w:szCs w:val="21"/>
          <w:highlight w:val="none"/>
          <w:u w:val="single"/>
        </w:rPr>
        <w:t xml:space="preserve">（标的名称）</w:t>
      </w:r>
      <w:r>
        <w:rPr>
          <w:rFonts w:hAnsi="宋体"/>
          <w:szCs w:val="21"/>
          <w:highlight w:val="none"/>
        </w:rPr>
        <w:t xml:space="preserve"> </w:t>
      </w:r>
      <w:r>
        <w:rPr>
          <w:rFonts w:hint="eastAsia" w:hAnsi="宋体" w:cs="宋体"/>
          <w:szCs w:val="21"/>
          <w:highlight w:val="none"/>
        </w:rPr>
        <w:t xml:space="preserve">，属于</w:t>
      </w:r>
      <w:r>
        <w:rPr>
          <w:rFonts w:hint="eastAsia" w:hAnsi="宋体" w:cs="宋体"/>
          <w:szCs w:val="21"/>
          <w:highlight w:val="none"/>
          <w:u w:val="single"/>
        </w:rPr>
        <w:t xml:space="preserve">（采购文件中明确的所属行业）</w:t>
      </w:r>
      <w:r>
        <w:rPr>
          <w:rFonts w:hint="eastAsia" w:hAnsi="宋体" w:cs="宋体"/>
          <w:szCs w:val="21"/>
          <w:highlight w:val="none"/>
        </w:rPr>
        <w:t xml:space="preserve">；</w:t>
      </w:r>
      <w:r>
        <w:rPr>
          <w:rFonts w:hAnsi="宋体"/>
          <w:szCs w:val="21"/>
          <w:highlight w:val="none"/>
        </w:rPr>
        <w:t xml:space="preserve"> </w:t>
      </w:r>
      <w:r>
        <w:rPr>
          <w:rFonts w:hint="eastAsia" w:hAnsi="宋体" w:cs="宋体"/>
          <w:szCs w:val="21"/>
          <w:highlight w:val="none"/>
        </w:rPr>
        <w:t xml:space="preserve">承建（承接）企业为</w:t>
      </w:r>
      <w:r>
        <w:rPr>
          <w:rFonts w:hint="eastAsia" w:hAnsi="宋体" w:cs="宋体"/>
          <w:szCs w:val="21"/>
          <w:highlight w:val="none"/>
          <w:u w:val="single"/>
        </w:rPr>
        <w:t xml:space="preserve">（企业名称）</w:t>
      </w:r>
      <w:r>
        <w:rPr>
          <w:rFonts w:hint="eastAsia" w:hAnsi="宋体" w:cs="宋体"/>
          <w:szCs w:val="21"/>
          <w:highlight w:val="none"/>
        </w:rPr>
        <w:t xml:space="preserve">，</w:t>
      </w:r>
      <w:r>
        <w:rPr>
          <w:rFonts w:hint="eastAsia" w:hAnsi="宋体" w:cs="宋体"/>
          <w:szCs w:val="21"/>
          <w:highlight w:val="none"/>
          <w:lang w:val="zh-CN"/>
        </w:rPr>
        <w:t xml:space="preserve">从业人员</w:t>
      </w:r>
      <w:r>
        <w:rPr>
          <w:rFonts w:hint="eastAsia" w:hAnsi="宋体"/>
          <w:szCs w:val="21"/>
          <w:highlight w:val="none"/>
          <w:u w:val="single"/>
          <w:lang w:val="zh-CN"/>
        </w:rPr>
        <w:t xml:space="preserve">     </w:t>
      </w:r>
      <w:r>
        <w:rPr>
          <w:rFonts w:hint="eastAsia" w:hAnsi="宋体" w:cs="宋体"/>
          <w:szCs w:val="21"/>
          <w:highlight w:val="none"/>
          <w:lang w:val="zh-CN"/>
        </w:rPr>
        <w:t xml:space="preserve">人，营业收入为</w:t>
      </w:r>
      <w:r>
        <w:rPr>
          <w:rFonts w:hint="eastAsia" w:hAnsi="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szCs w:val="21"/>
          <w:highlight w:val="none"/>
          <w:u w:val="single"/>
          <w:lang w:val="zh-CN"/>
        </w:rPr>
        <w:t xml:space="preserve">     </w:t>
      </w:r>
      <w:r>
        <w:rPr>
          <w:rFonts w:hint="eastAsia" w:hAnsi="宋体" w:cs="宋体"/>
          <w:szCs w:val="21"/>
          <w:highlight w:val="none"/>
          <w:lang w:val="zh-CN"/>
        </w:rPr>
        <w:t xml:space="preserve">万元</w:t>
      </w:r>
      <w:r>
        <w:rPr>
          <w:rFonts w:hAnsi="宋体"/>
          <w:szCs w:val="21"/>
          <w:highlight w:val="none"/>
          <w:lang w:val="zh-CN"/>
        </w:rPr>
        <w:t xml:space="preserve"> </w:t>
      </w:r>
      <w:r>
        <w:rPr>
          <w:rFonts w:hint="eastAsia" w:hAnsi="宋体" w:cs="宋体"/>
          <w:szCs w:val="21"/>
          <w:highlight w:val="none"/>
          <w:lang w:val="zh-CN"/>
        </w:rPr>
        <w:t xml:space="preserve">，属于</w:t>
      </w:r>
      <w:r>
        <w:rPr>
          <w:rFonts w:hint="eastAsia" w:hAnsi="宋体" w:cs="宋体"/>
          <w:szCs w:val="21"/>
          <w:highlight w:val="none"/>
          <w:u w:val="single"/>
          <w:lang w:val="zh-CN"/>
        </w:rPr>
        <w:t xml:space="preserve">（中型企业、小</w:t>
      </w:r>
      <w:r>
        <w:rPr>
          <w:rFonts w:hAnsi="宋体"/>
          <w:szCs w:val="21"/>
          <w:highlight w:val="none"/>
          <w:u w:val="single"/>
          <w:lang w:val="zh-CN"/>
        </w:rPr>
        <w:t xml:space="preserve"> </w:t>
      </w:r>
      <w:r>
        <w:rPr>
          <w:rFonts w:hint="eastAsia" w:hAnsi="宋体" w:cs="宋体"/>
          <w:szCs w:val="21"/>
          <w:highlight w:val="none"/>
          <w:u w:val="single"/>
          <w:lang w:val="zh-CN"/>
        </w:rPr>
        <w:t xml:space="preserve">型企业、微型企业）</w:t>
      </w:r>
      <w:r>
        <w:rPr>
          <w:rFonts w:hint="eastAsia" w:hAnsi="宋体" w:cs="宋体"/>
          <w:szCs w:val="21"/>
          <w:highlight w:val="none"/>
          <w:lang w:val="zh-CN"/>
        </w:rPr>
        <w:t xml:space="preserve">；</w:t>
      </w:r>
      <w:r>
        <w:rPr>
          <w:rFonts w:hint="eastAsia" w:hAnsi="宋体" w:cs="宋体"/>
          <w:szCs w:val="21"/>
          <w:highlight w:val="none"/>
          <w:lang w:val="zh-CN"/>
        </w:rPr>
      </w:r>
      <w:r/>
    </w:p>
    <w:p>
      <w:pPr>
        <w:pStyle w:val="1175"/>
        <w:ind w:firstLine="420"/>
        <w:spacing w:line="360" w:lineRule="auto"/>
        <w:rPr>
          <w:rFonts w:hint="eastAsia" w:hAnsi="宋体" w:cs="宋体"/>
          <w:szCs w:val="21"/>
          <w:highlight w:val="none"/>
          <w:lang w:val="zh-CN"/>
        </w:rPr>
      </w:pPr>
      <w:r>
        <w:rPr>
          <w:rFonts w:hint="eastAsia" w:hAnsi="宋体"/>
          <w:szCs w:val="21"/>
          <w:highlight w:val="none"/>
        </w:rPr>
        <w:t xml:space="preserve">2</w:t>
      </w:r>
      <w:r>
        <w:rPr>
          <w:rFonts w:hAnsi="宋体"/>
          <w:szCs w:val="21"/>
          <w:highlight w:val="none"/>
        </w:rPr>
        <w:t xml:space="preserve">.</w:t>
      </w:r>
      <w:r>
        <w:rPr>
          <w:rFonts w:hint="eastAsia" w:hAnsi="宋体" w:cs="宋体"/>
          <w:szCs w:val="21"/>
          <w:highlight w:val="none"/>
          <w:u w:val="single"/>
        </w:rPr>
        <w:t xml:space="preserve">（标的名称）</w:t>
      </w:r>
      <w:r>
        <w:rPr>
          <w:rFonts w:hint="eastAsia" w:hAnsi="宋体" w:cs="宋体"/>
          <w:szCs w:val="21"/>
          <w:highlight w:val="none"/>
        </w:rPr>
        <w:t xml:space="preserve">，属于</w:t>
      </w:r>
      <w:r>
        <w:rPr>
          <w:rFonts w:hint="eastAsia" w:hAnsi="宋体" w:cs="宋体"/>
          <w:szCs w:val="21"/>
          <w:highlight w:val="none"/>
          <w:u w:val="single"/>
        </w:rPr>
        <w:t xml:space="preserve">（采购文件中明确的所属行业）</w:t>
      </w:r>
      <w:r>
        <w:rPr>
          <w:rFonts w:hint="eastAsia" w:hAnsi="宋体" w:cs="宋体"/>
          <w:szCs w:val="21"/>
          <w:highlight w:val="none"/>
        </w:rPr>
        <w:t xml:space="preserve">；</w:t>
      </w:r>
      <w:r>
        <w:rPr>
          <w:rFonts w:hAnsi="宋体"/>
          <w:szCs w:val="21"/>
          <w:highlight w:val="none"/>
        </w:rPr>
        <w:t xml:space="preserve"> </w:t>
      </w:r>
      <w:r>
        <w:rPr>
          <w:rFonts w:hint="eastAsia" w:hAnsi="宋体" w:cs="宋体"/>
          <w:szCs w:val="21"/>
          <w:highlight w:val="none"/>
        </w:rPr>
        <w:t xml:space="preserve">承建（承接）企业为</w:t>
      </w:r>
      <w:r>
        <w:rPr>
          <w:rFonts w:hint="eastAsia" w:hAnsi="宋体" w:cs="宋体"/>
          <w:szCs w:val="21"/>
          <w:highlight w:val="none"/>
          <w:u w:val="single"/>
        </w:rPr>
        <w:t xml:space="preserve">（企业名称）</w:t>
      </w:r>
      <w:r>
        <w:rPr>
          <w:rFonts w:hint="eastAsia" w:hAnsi="宋体" w:cs="宋体"/>
          <w:szCs w:val="21"/>
          <w:highlight w:val="none"/>
        </w:rPr>
        <w:t xml:space="preserve">，</w:t>
      </w:r>
      <w:r>
        <w:rPr>
          <w:rFonts w:hint="eastAsia" w:hAnsi="宋体" w:cs="宋体"/>
          <w:szCs w:val="21"/>
          <w:highlight w:val="none"/>
          <w:lang w:val="zh-CN"/>
        </w:rPr>
        <w:t xml:space="preserve">从业人员</w:t>
      </w:r>
      <w:r>
        <w:rPr>
          <w:rFonts w:hint="eastAsia" w:hAnsi="宋体"/>
          <w:szCs w:val="21"/>
          <w:highlight w:val="none"/>
          <w:u w:val="single"/>
          <w:lang w:val="zh-CN"/>
        </w:rPr>
        <w:t xml:space="preserve">     </w:t>
      </w:r>
      <w:r>
        <w:rPr>
          <w:rFonts w:hint="eastAsia" w:hAnsi="宋体" w:cs="宋体"/>
          <w:szCs w:val="21"/>
          <w:highlight w:val="none"/>
          <w:lang w:val="zh-CN"/>
        </w:rPr>
        <w:t xml:space="preserve">人，营业收入为</w:t>
      </w:r>
      <w:r>
        <w:rPr>
          <w:rFonts w:hint="eastAsia" w:hAnsi="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szCs w:val="21"/>
          <w:highlight w:val="none"/>
          <w:u w:val="single"/>
          <w:lang w:val="zh-CN"/>
        </w:rPr>
        <w:t xml:space="preserve">     </w:t>
      </w:r>
      <w:r>
        <w:rPr>
          <w:rFonts w:hint="eastAsia" w:hAnsi="宋体" w:cs="宋体"/>
          <w:szCs w:val="21"/>
          <w:highlight w:val="none"/>
          <w:lang w:val="zh-CN"/>
        </w:rPr>
        <w:t xml:space="preserve">万元</w:t>
      </w:r>
      <w:r>
        <w:rPr>
          <w:rFonts w:hAnsi="宋体"/>
          <w:szCs w:val="21"/>
          <w:highlight w:val="none"/>
          <w:lang w:val="zh-CN"/>
        </w:rPr>
        <w:t xml:space="preserve"> </w:t>
      </w:r>
      <w:r>
        <w:rPr>
          <w:rFonts w:hint="eastAsia" w:hAnsi="宋体" w:cs="宋体"/>
          <w:szCs w:val="21"/>
          <w:highlight w:val="none"/>
          <w:lang w:val="zh-CN"/>
        </w:rPr>
        <w:t xml:space="preserve">，属于</w:t>
      </w:r>
      <w:r>
        <w:rPr>
          <w:rFonts w:hint="eastAsia" w:hAnsi="宋体" w:cs="宋体"/>
          <w:szCs w:val="21"/>
          <w:highlight w:val="none"/>
          <w:u w:val="single"/>
          <w:lang w:val="zh-CN"/>
        </w:rPr>
        <w:t xml:space="preserve">（中型企业、小</w:t>
      </w:r>
      <w:r>
        <w:rPr>
          <w:rFonts w:hAnsi="宋体"/>
          <w:szCs w:val="21"/>
          <w:highlight w:val="none"/>
          <w:u w:val="single"/>
          <w:lang w:val="zh-CN"/>
        </w:rPr>
        <w:t xml:space="preserve"> </w:t>
      </w:r>
      <w:r>
        <w:rPr>
          <w:rFonts w:hint="eastAsia" w:hAnsi="宋体" w:cs="宋体"/>
          <w:szCs w:val="21"/>
          <w:highlight w:val="none"/>
          <w:u w:val="single"/>
          <w:lang w:val="zh-CN"/>
        </w:rPr>
        <w:t xml:space="preserve">型企业、微型企业）</w:t>
      </w:r>
      <w:r>
        <w:rPr>
          <w:rFonts w:hint="eastAsia" w:hAnsi="宋体" w:cs="宋体"/>
          <w:szCs w:val="21"/>
          <w:highlight w:val="none"/>
          <w:lang w:val="zh-CN"/>
        </w:rPr>
        <w:t xml:space="preserve">；</w:t>
      </w:r>
      <w:r>
        <w:rPr>
          <w:rFonts w:hint="eastAsia" w:hAnsi="宋体" w:cs="宋体"/>
          <w:szCs w:val="21"/>
          <w:highlight w:val="none"/>
          <w:lang w:val="zh-CN"/>
        </w:rPr>
      </w:r>
      <w:r/>
    </w:p>
    <w:p>
      <w:pPr>
        <w:pStyle w:val="922"/>
        <w:ind w:firstLine="420"/>
        <w:spacing w:line="360" w:lineRule="auto"/>
        <w:rPr>
          <w:rFonts w:hint="eastAsia" w:ascii="宋体" w:hAnsi="宋体"/>
          <w:szCs w:val="21"/>
          <w:highlight w:val="none"/>
          <w:lang w:val="zh-CN"/>
        </w:rPr>
      </w:pPr>
      <w:r>
        <w:rPr>
          <w:rFonts w:ascii="宋体" w:hAnsi="宋体"/>
          <w:szCs w:val="21"/>
          <w:highlight w:val="none"/>
          <w:lang w:val="zh-CN"/>
        </w:rPr>
        <w:t xml:space="preserve">…… </w:t>
      </w:r>
      <w:r>
        <w:rPr>
          <w:rFonts w:hint="eastAsia" w:ascii="宋体" w:hAnsi="宋体"/>
          <w:szCs w:val="21"/>
          <w:highlight w:val="none"/>
          <w:lang w:val="zh-CN"/>
        </w:rPr>
      </w:r>
      <w:r/>
    </w:p>
    <w:p>
      <w:pPr>
        <w:pStyle w:val="922"/>
        <w:ind w:firstLine="420"/>
        <w:spacing w:line="360" w:lineRule="auto"/>
        <w:rPr>
          <w:rFonts w:hint="eastAsia" w:ascii="宋体" w:hAnsi="宋体"/>
          <w:szCs w:val="21"/>
          <w:highlight w:val="none"/>
          <w:lang w:val="zh-CN"/>
        </w:rPr>
      </w:pPr>
      <w:r>
        <w:rPr>
          <w:rFonts w:ascii="宋体" w:hAnsi="宋体"/>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szCs w:val="21"/>
          <w:highlight w:val="none"/>
          <w:lang w:val="zh-CN"/>
        </w:rPr>
      </w:r>
      <w:r/>
    </w:p>
    <w:p>
      <w:pPr>
        <w:pStyle w:val="922"/>
        <w:ind w:firstLine="420"/>
        <w:spacing w:line="360" w:lineRule="auto"/>
        <w:rPr>
          <w:rFonts w:hint="eastAsia" w:ascii="宋体" w:hAnsi="宋体"/>
          <w:szCs w:val="21"/>
          <w:highlight w:val="none"/>
          <w:lang w:val="zh-CN"/>
        </w:rPr>
      </w:pPr>
      <w:r>
        <w:rPr>
          <w:rFonts w:ascii="宋体" w:hAnsi="宋体"/>
          <w:szCs w:val="21"/>
          <w:highlight w:val="none"/>
          <w:lang w:val="zh-CN"/>
        </w:rPr>
        <w:t xml:space="preserve">本企业对上述声明内容的真实性负责。如有虚假，将依法承担相应责任。</w:t>
      </w:r>
      <w:r>
        <w:rPr>
          <w:rFonts w:hint="eastAsia" w:ascii="宋体" w:hAnsi="宋体"/>
          <w:szCs w:val="21"/>
          <w:highlight w:val="none"/>
          <w:lang w:val="zh-CN"/>
        </w:rPr>
      </w:r>
      <w:r/>
    </w:p>
    <w:p>
      <w:pPr>
        <w:pStyle w:val="1175"/>
        <w:ind w:firstLine="420"/>
        <w:spacing w:line="360" w:lineRule="auto"/>
        <w:rPr>
          <w:rFonts w:hint="eastAsia" w:hAnsi="宋体" w:cs="宋体"/>
          <w:szCs w:val="21"/>
          <w:highlight w:val="none"/>
        </w:rPr>
      </w:pPr>
      <w:r>
        <w:rPr>
          <w:rFonts w:hint="eastAsia" w:hAnsi="宋体" w:cs="宋体"/>
          <w:szCs w:val="21"/>
          <w:highlight w:val="none"/>
        </w:rPr>
        <w:t xml:space="preserve">注：1.</w:t>
      </w:r>
      <w:r>
        <w:rPr>
          <w:rFonts w:hAnsi="宋体" w:cs="宋体"/>
          <w:szCs w:val="21"/>
          <w:highlight w:val="none"/>
        </w:rPr>
        <w:t xml:space="preserve">从业人员、营业收入、资产总额填报上一年度数据，无上一年度数据的新成立企业可不填报。</w:t>
      </w:r>
      <w:r>
        <w:rPr>
          <w:rFonts w:hint="eastAsia" w:hAnsi="宋体" w:cs="宋体"/>
          <w:szCs w:val="21"/>
          <w:highlight w:val="none"/>
        </w:rPr>
      </w:r>
      <w:r/>
    </w:p>
    <w:p>
      <w:pPr>
        <w:pStyle w:val="1175"/>
        <w:ind w:firstLine="422"/>
        <w:spacing w:line="360" w:lineRule="auto"/>
        <w:rPr>
          <w:rFonts w:hint="eastAsia" w:hAnsi="宋体" w:cs="宋体"/>
          <w:b/>
          <w:color w:val="000000"/>
          <w:highlight w:val="none"/>
        </w:rPr>
      </w:pPr>
      <w:r>
        <w:rPr>
          <w:rFonts w:hint="eastAsia" w:hAnsi="宋体" w:cs="宋体"/>
          <w:b/>
          <w:color w:val="000000"/>
          <w:highlight w:val="none"/>
        </w:rPr>
        <w:t xml:space="preserve">2</w:t>
      </w:r>
      <w:r>
        <w:rPr>
          <w:rFonts w:hAnsi="宋体" w:cs="宋体"/>
          <w:b/>
          <w:color w:val="000000"/>
          <w:highlight w:val="none"/>
        </w:rPr>
        <w:t xml:space="preserve">.本项目服务所属行业为</w:t>
      </w:r>
      <w:r>
        <w:rPr>
          <w:rFonts w:hint="eastAsia" w:hAnsi="宋体" w:cs="宋体"/>
          <w:b/>
          <w:bCs/>
          <w:color w:val="000000"/>
          <w:szCs w:val="21"/>
          <w:highlight w:val="none"/>
        </w:rPr>
        <w:t xml:space="preserve">其他未列明行业</w:t>
      </w:r>
      <w:r>
        <w:rPr>
          <w:rFonts w:hAnsi="宋体" w:cs="宋体"/>
          <w:b/>
          <w:color w:val="000000"/>
          <w:highlight w:val="none"/>
        </w:rPr>
        <w:t xml:space="preserve">，中小微企业划分标准请根据《中小企业划型标准规定》（工信部联企业﹝2011﹞300号文）。</w:t>
      </w:r>
      <w:r>
        <w:rPr>
          <w:rFonts w:hint="eastAsia" w:hAnsi="宋体" w:cs="宋体"/>
          <w:b/>
          <w:color w:val="000000"/>
          <w:highlight w:val="none"/>
        </w:rPr>
      </w:r>
      <w:r/>
    </w:p>
    <w:p>
      <w:pPr>
        <w:pStyle w:val="1175"/>
        <w:ind w:firstLine="420"/>
        <w:rPr>
          <w:rFonts w:hint="eastAsia" w:hAnsi="宋体"/>
          <w:szCs w:val="21"/>
          <w:highlight w:val="none"/>
        </w:rPr>
      </w:pPr>
      <w:r>
        <w:rPr>
          <w:rFonts w:hint="eastAsia" w:hAnsi="宋体"/>
          <w:szCs w:val="21"/>
          <w:highlight w:val="none"/>
        </w:rPr>
      </w:r>
      <w:r/>
    </w:p>
    <w:p>
      <w:pPr>
        <w:pStyle w:val="1175"/>
        <w:ind w:firstLine="420"/>
        <w:rPr>
          <w:rFonts w:hint="eastAsia" w:hAnsi="宋体" w:cs="宋体"/>
          <w:szCs w:val="21"/>
          <w:highlight w:val="none"/>
        </w:rPr>
      </w:pPr>
      <w:r>
        <w:rPr>
          <w:rFonts w:hint="eastAsia" w:hAnsi="宋体" w:cs="宋体"/>
          <w:szCs w:val="21"/>
          <w:highlight w:val="none"/>
        </w:rPr>
      </w:r>
      <w:r/>
    </w:p>
    <w:p>
      <w:pPr>
        <w:pStyle w:val="1175"/>
        <w:ind w:firstLine="420"/>
        <w:jc w:val="center"/>
        <w:spacing w:line="360" w:lineRule="auto"/>
        <w:rPr>
          <w:rFonts w:hint="eastAsia" w:hAnsi="宋体"/>
          <w:szCs w:val="21"/>
          <w:highlight w:val="none"/>
        </w:rPr>
      </w:pPr>
      <w:r>
        <w:rPr>
          <w:rFonts w:hint="eastAsia" w:hAnsi="宋体" w:cs="宋体"/>
          <w:szCs w:val="21"/>
          <w:highlight w:val="none"/>
        </w:rPr>
        <w:t xml:space="preserve">企业名称（盖章）：</w:t>
      </w:r>
      <w:r>
        <w:rPr>
          <w:rFonts w:hint="eastAsia" w:hAnsi="宋体"/>
          <w:szCs w:val="21"/>
          <w:highlight w:val="none"/>
        </w:rPr>
      </w:r>
      <w:r/>
    </w:p>
    <w:p>
      <w:pPr>
        <w:pStyle w:val="1175"/>
        <w:ind w:firstLine="420"/>
        <w:jc w:val="center"/>
        <w:spacing w:line="360" w:lineRule="auto"/>
        <w:rPr>
          <w:rFonts w:hint="eastAsia" w:hAnsi="宋体" w:cs="宋体"/>
          <w:szCs w:val="21"/>
          <w:highlight w:val="none"/>
        </w:rPr>
      </w:pPr>
      <w:r>
        <w:rPr>
          <w:rFonts w:hint="eastAsia" w:hAnsi="宋体" w:cs="宋体"/>
          <w:szCs w:val="21"/>
          <w:highlight w:val="none"/>
        </w:rPr>
        <w:t xml:space="preserve">日</w:t>
      </w:r>
      <w:r>
        <w:rPr>
          <w:rFonts w:hAnsi="宋体"/>
          <w:szCs w:val="21"/>
          <w:highlight w:val="none"/>
        </w:rPr>
        <w:t xml:space="preserve"> </w:t>
      </w:r>
      <w:r>
        <w:rPr>
          <w:rFonts w:hint="eastAsia" w:hAnsi="宋体" w:cs="宋体"/>
          <w:szCs w:val="21"/>
          <w:highlight w:val="none"/>
        </w:rPr>
        <w:t xml:space="preserve">期：</w:t>
      </w:r>
      <w:r>
        <w:rPr>
          <w:rFonts w:hint="eastAsia" w:hAnsi="宋体" w:cs="宋体"/>
          <w:szCs w:val="21"/>
          <w:highlight w:val="none"/>
        </w:rPr>
      </w:r>
      <w:r/>
    </w:p>
    <w:p>
      <w:pPr>
        <w:pStyle w:val="922"/>
        <w:spacing w:line="360" w:lineRule="exact"/>
        <w:rPr>
          <w:rFonts w:ascii="宋体" w:hAnsi="宋体"/>
          <w:szCs w:val="21"/>
          <w:highlight w:val="none"/>
        </w:rPr>
      </w:pPr>
      <w:r>
        <w:rPr>
          <w:rFonts w:ascii="宋体" w:hAnsi="宋体"/>
          <w:szCs w:val="21"/>
          <w:highlight w:val="none"/>
        </w:rPr>
        <w:t xml:space="preserve">注：1</w:t>
      </w:r>
      <w:r>
        <w:rPr>
          <w:rFonts w:hint="eastAsia" w:ascii="宋体" w:hAnsi="宋体"/>
          <w:szCs w:val="21"/>
          <w:highlight w:val="none"/>
        </w:rPr>
        <w:t xml:space="preserve">.</w:t>
      </w:r>
      <w:r>
        <w:rPr>
          <w:rFonts w:ascii="宋体" w:hAnsi="宋体"/>
          <w:szCs w:val="21"/>
          <w:highlight w:val="none"/>
        </w:rPr>
        <w:t xml:space="preserve">中小企业划分标准详见工信部联企业〔2011〕300号通知中的《中小企业划型标准规定》。</w:t>
      </w:r>
      <w:r>
        <w:rPr>
          <w:rFonts w:ascii="宋体" w:hAnsi="宋体"/>
          <w:szCs w:val="21"/>
          <w:highlight w:val="none"/>
        </w:rPr>
      </w:r>
      <w:r/>
    </w:p>
    <w:p>
      <w:pPr>
        <w:pStyle w:val="922"/>
        <w:ind w:firstLine="420"/>
        <w:spacing w:line="36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w:t>
      </w:r>
      <w:r>
        <w:rPr>
          <w:rFonts w:ascii="宋体" w:hAnsi="宋体"/>
          <w:szCs w:val="21"/>
          <w:highlight w:val="none"/>
        </w:rPr>
        <w:t xml:space="preserve">如供应商认定本企业为小型或微型企业，则需根据“工信部联企业〔2011〕300号”通知中的《中小企业划型标准规定》填报“中小企业声明函”。 </w:t>
      </w:r>
      <w:r>
        <w:rPr>
          <w:rFonts w:ascii="宋体" w:hAnsi="宋体"/>
          <w:szCs w:val="21"/>
          <w:highlight w:val="none"/>
        </w:rPr>
      </w:r>
      <w:r/>
    </w:p>
    <w:p>
      <w:pPr>
        <w:pStyle w:val="922"/>
        <w:ind w:firstLine="420"/>
        <w:spacing w:line="360" w:lineRule="exact"/>
        <w:rPr>
          <w:rFonts w:hint="eastAsia" w:ascii="宋体" w:hAnsi="宋体" w:cs="宋体"/>
          <w:bCs/>
          <w:szCs w:val="21"/>
          <w:highlight w:val="none"/>
        </w:rPr>
      </w:pPr>
      <w:r>
        <w:rPr>
          <w:rFonts w:hint="eastAsia" w:ascii="宋体" w:hAnsi="宋体"/>
          <w:szCs w:val="21"/>
          <w:highlight w:val="none"/>
        </w:rPr>
        <w:t xml:space="preserve">3.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bCs/>
          <w:szCs w:val="21"/>
          <w:highlight w:val="none"/>
        </w:rPr>
      </w:r>
      <w:r/>
    </w:p>
    <w:p>
      <w:pPr>
        <w:pStyle w:val="92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bCs/>
          <w:szCs w:val="21"/>
          <w:highlight w:val="none"/>
        </w:rPr>
        <w:t xml:space="preserve">关于印发中小企业划型标准规定的通知</w:t>
      </w:r>
      <w:r>
        <w:rPr>
          <w:rFonts w:hint="eastAsia" w:ascii="宋体" w:hAnsi="宋体" w:cs="宋体"/>
          <w:szCs w:val="21"/>
          <w:highlight w:val="none"/>
        </w:rPr>
      </w:r>
      <w:r/>
    </w:p>
    <w:p>
      <w:pPr>
        <w:pStyle w:val="922"/>
        <w:spacing w:before="100" w:beforeAutospacing="1" w:after="100" w:afterAutospacing="1" w:line="360" w:lineRule="auto"/>
        <w:widowControl/>
        <w:rPr>
          <w:rFonts w:ascii="宋体" w:hAnsi="宋体" w:cs="宋体"/>
          <w:bCs/>
          <w:szCs w:val="21"/>
          <w:highlight w:val="none"/>
        </w:rPr>
      </w:pPr>
      <w:r>
        <w:rPr>
          <w:rFonts w:hint="eastAsia" w:ascii="宋体" w:hAnsi="宋体" w:cs="宋体"/>
          <w:bCs/>
          <w:szCs w:val="21"/>
          <w:highlight w:val="none"/>
        </w:rPr>
        <w:t xml:space="preserve">工信部联企业〔2011〕300号</w:t>
      </w:r>
      <w:r>
        <w:rPr>
          <w:rFonts w:ascii="宋体" w:hAnsi="宋体" w:cs="宋体"/>
          <w:bCs/>
          <w:szCs w:val="21"/>
          <w:highlight w:val="none"/>
        </w:rPr>
      </w:r>
      <w:r/>
    </w:p>
    <w:p>
      <w:pPr>
        <w:pStyle w:val="92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各省、自治区、直辖市人民政府，国务院各部委、各直属机构及有关单位：</w:t>
      </w:r>
      <w:r>
        <w:rPr>
          <w:rFonts w:hint="eastAsia" w:ascii="宋体" w:hAnsi="宋体" w:cs="宋体"/>
          <w:szCs w:val="21"/>
          <w:highlight w:val="none"/>
        </w:rPr>
      </w:r>
      <w:r/>
    </w:p>
    <w:p>
      <w:pPr>
        <w:pStyle w:val="92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szCs w:val="21"/>
          <w:highlight w:val="none"/>
        </w:rPr>
      </w:r>
      <w:r/>
    </w:p>
    <w:p>
      <w:pPr>
        <w:pStyle w:val="92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工业和信息化部　国家统计局</w:t>
      </w:r>
      <w:r>
        <w:rPr>
          <w:rFonts w:hint="eastAsia" w:ascii="宋体" w:hAnsi="宋体" w:cs="宋体"/>
          <w:szCs w:val="21"/>
          <w:highlight w:val="none"/>
        </w:rPr>
      </w:r>
      <w:r/>
    </w:p>
    <w:p>
      <w:pPr>
        <w:pStyle w:val="92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国家发展和改革委员会　财政部</w:t>
      </w:r>
      <w:r>
        <w:rPr>
          <w:rFonts w:hint="eastAsia" w:ascii="宋体" w:hAnsi="宋体" w:cs="宋体"/>
          <w:szCs w:val="21"/>
          <w:highlight w:val="none"/>
        </w:rPr>
      </w:r>
      <w:r/>
    </w:p>
    <w:p>
      <w:pPr>
        <w:pStyle w:val="922"/>
        <w:ind w:firstLine="420"/>
        <w:spacing w:line="360" w:lineRule="exact"/>
        <w:rPr>
          <w:rFonts w:ascii="宋体" w:hAnsi="宋体" w:cs="宋体"/>
          <w:color w:val="000000"/>
          <w:szCs w:val="21"/>
          <w:highlight w:val="none"/>
        </w:rPr>
      </w:pPr>
      <w:r>
        <w:rPr>
          <w:rFonts w:hint="eastAsia" w:ascii="宋体" w:hAnsi="宋体" w:cs="宋体"/>
          <w:szCs w:val="21"/>
          <w:highlight w:val="none"/>
        </w:rPr>
        <w:t xml:space="preserve">　　　　　　　　　　　　　　　　　　　　　　　　二○一一年六月十八日</w:t>
      </w:r>
      <w:r>
        <w:rPr>
          <w:rFonts w:ascii="宋体" w:hAnsi="宋体" w:cs="宋体"/>
          <w:color w:val="000000"/>
          <w:szCs w:val="21"/>
          <w:highlight w:val="none"/>
        </w:rPr>
        <w:t xml:space="preserve"> </w:t>
      </w:r>
      <w:r>
        <w:rPr>
          <w:rFonts w:ascii="宋体" w:hAnsi="宋体" w:cs="宋体"/>
          <w:color w:val="000000"/>
          <w:szCs w:val="21"/>
          <w:highlight w:val="none"/>
        </w:rPr>
      </w:r>
      <w:r/>
    </w:p>
    <w:p>
      <w:pPr>
        <w:pStyle w:val="922"/>
        <w:ind w:firstLine="420"/>
        <w:spacing w:line="360" w:lineRule="auto"/>
        <w:rPr>
          <w:rFonts w:ascii="宋体" w:hAnsi="宋体" w:cs="宋体"/>
          <w:color w:val="000000"/>
          <w:szCs w:val="21"/>
          <w:highlight w:val="none"/>
        </w:rPr>
      </w:pPr>
      <w:r>
        <w:rPr>
          <w:rFonts w:ascii="宋体" w:hAnsi="宋体" w:cs="宋体"/>
          <w:color w:val="000000"/>
          <w:szCs w:val="21"/>
          <w:highlight w:val="none"/>
        </w:rPr>
        <w:br w:type="page" w:clear="all"/>
      </w:r>
      <w:bookmarkStart w:id="36" w:name="_Ref343881462"/>
      <w:r/>
      <w:bookmarkStart w:id="37" w:name="_Toc497431311"/>
      <w:r>
        <w:rPr>
          <w:rFonts w:ascii="宋体" w:hAnsi="宋体" w:cs="宋体"/>
          <w:color w:val="000000"/>
          <w:szCs w:val="21"/>
          <w:highlight w:val="none"/>
        </w:rPr>
      </w:r>
      <w:r/>
    </w:p>
    <w:p>
      <w:pPr>
        <w:pStyle w:val="922"/>
        <w:ind w:right="1560" w:firstLine="420"/>
        <w:jc w:val="right"/>
        <w:spacing w:line="580" w:lineRule="exact"/>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924"/>
        <w:spacing w:line="416" w:lineRule="auto"/>
        <w:rPr>
          <w:rFonts w:ascii="宋体" w:hAnsi="宋体" w:eastAsia="宋体"/>
          <w:color w:val="000000"/>
          <w:sz w:val="21"/>
          <w:szCs w:val="21"/>
          <w:highlight w:val="none"/>
        </w:rPr>
      </w:pPr>
      <w:r/>
      <w:bookmarkStart w:id="38" w:name="_Toc178063805"/>
      <w:r/>
      <w:bookmarkStart w:id="39" w:name="_Ref22898688"/>
      <w:r>
        <w:rPr>
          <w:rFonts w:hint="eastAsia" w:ascii="宋体" w:hAnsi="宋体" w:eastAsia="宋体"/>
          <w:color w:val="000000"/>
          <w:sz w:val="21"/>
          <w:szCs w:val="21"/>
          <w:highlight w:val="none"/>
        </w:rPr>
        <w:t xml:space="preserve">偏离表（商务）：</w:t>
      </w:r>
      <w:bookmarkEnd w:id="36"/>
      <w:r/>
      <w:bookmarkEnd w:id="37"/>
      <w:r/>
      <w:bookmarkEnd w:id="38"/>
      <w:r/>
      <w:bookmarkEnd w:id="39"/>
      <w:r>
        <w:rPr>
          <w:rFonts w:ascii="宋体" w:hAnsi="宋体" w:eastAsia="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工期（服务期）</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响应时间</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质保期（如有）</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4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941"/>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rPr>
          <w:rFonts w:hint="eastAsia" w:ascii="宋体" w:hAnsi="宋体" w:eastAsia="宋体"/>
          <w:color w:val="000000"/>
          <w:sz w:val="21"/>
          <w:szCs w:val="21"/>
          <w:highlight w:val="none"/>
        </w:rPr>
      </w:r>
      <w:r/>
    </w:p>
    <w:p>
      <w:pPr>
        <w:pStyle w:val="924"/>
        <w:spacing w:line="416" w:lineRule="auto"/>
        <w:rPr>
          <w:rFonts w:ascii="宋体" w:hAnsi="宋体" w:eastAsia="宋体"/>
          <w:color w:val="000000"/>
          <w:sz w:val="21"/>
          <w:szCs w:val="21"/>
          <w:highlight w:val="none"/>
        </w:rPr>
      </w:pPr>
      <w:r/>
      <w:bookmarkStart w:id="40" w:name="_Ref501489596"/>
      <w:r/>
      <w:bookmarkStart w:id="41" w:name="_Toc178063806"/>
      <w:r>
        <w:rPr>
          <w:rFonts w:hint="eastAsia" w:ascii="宋体" w:hAnsi="宋体" w:eastAsia="宋体"/>
          <w:color w:val="000000"/>
          <w:sz w:val="21"/>
          <w:szCs w:val="21"/>
          <w:highlight w:val="none"/>
        </w:rPr>
        <w:t xml:space="preserve">偏离表（技术）：</w:t>
      </w:r>
      <w:bookmarkEnd w:id="40"/>
      <w:r/>
      <w:bookmarkEnd w:id="41"/>
      <w:r>
        <w:rPr>
          <w:rFonts w:ascii="宋体" w:hAnsi="宋体" w:eastAsia="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标的物</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rPr>
                <w:rFonts w:ascii="宋体" w:hAnsi="宋体" w:eastAsia="宋体"/>
                <w:color w:val="000000"/>
                <w:sz w:val="21"/>
                <w:szCs w:val="21"/>
                <w:highlight w:val="none"/>
              </w:rPr>
            </w:r>
            <w:r/>
          </w:p>
        </w:tc>
        <w:tc>
          <w:tcPr>
            <w:tcW w:w="2130"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4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41"/>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4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922"/>
        <w:jc w:val="left"/>
        <w:rPr>
          <w:rFonts w:hint="eastAsia" w:ascii="宋体" w:hAnsi="宋体"/>
          <w:color w:val="000000"/>
          <w:szCs w:val="21"/>
          <w:highlight w:val="none"/>
        </w:rPr>
      </w:pPr>
      <w:r>
        <w:rPr>
          <w:rFonts w:hint="eastAsia" w:ascii="宋体" w:hAnsi="宋体"/>
          <w:color w:val="000000"/>
          <w:szCs w:val="21"/>
          <w:highlight w:val="none"/>
        </w:rPr>
        <w:t xml:space="preserve">法定代表人或被授权人（签字或盖章）：                         年  月  日</w:t>
      </w:r>
      <w:r>
        <w:rPr>
          <w:rFonts w:hint="eastAsia" w:ascii="宋体" w:hAnsi="宋体"/>
          <w:color w:val="000000"/>
          <w:szCs w:val="21"/>
          <w:highlight w:val="none"/>
        </w:rPr>
      </w:r>
      <w:r/>
    </w:p>
    <w:p>
      <w:pPr>
        <w:pStyle w:val="922"/>
        <w:jc w:val="left"/>
        <w:widowControl/>
        <w:rPr>
          <w:rFonts w:hint="eastAsia" w:ascii="宋体" w:hAnsi="宋体"/>
          <w:szCs w:val="21"/>
          <w:highlight w:val="none"/>
        </w:rPr>
      </w:pPr>
      <w:r>
        <w:rPr>
          <w:rFonts w:hint="eastAsia" w:ascii="宋体" w:hAnsi="宋体"/>
          <w:szCs w:val="21"/>
          <w:highlight w:val="none"/>
        </w:rPr>
      </w:r>
      <w:r/>
    </w:p>
    <w:p>
      <w:pPr>
        <w:pStyle w:val="922"/>
        <w:jc w:val="left"/>
        <w:widowControl/>
        <w:rPr>
          <w:rFonts w:hint="eastAsia" w:ascii="宋体" w:hAnsi="宋体"/>
          <w:szCs w:val="21"/>
          <w:highlight w:val="none"/>
        </w:rPr>
      </w:pPr>
      <w:r>
        <w:rPr>
          <w:rFonts w:hint="eastAsia" w:ascii="宋体" w:hAnsi="宋体"/>
          <w:szCs w:val="21"/>
          <w:highlight w:val="none"/>
        </w:rPr>
      </w:r>
      <w:r/>
    </w:p>
    <w:p>
      <w:pPr>
        <w:pStyle w:val="924"/>
        <w:ind w:firstLine="420"/>
        <w:spacing w:line="360" w:lineRule="auto"/>
        <w:rPr>
          <w:rFonts w:ascii="宋体" w:hAnsi="宋体" w:eastAsia="宋体"/>
          <w:color w:val="000000"/>
          <w:sz w:val="21"/>
          <w:szCs w:val="21"/>
          <w:highlight w:val="none"/>
          <w:lang w:val="zh-CN"/>
        </w:rPr>
      </w:pPr>
      <w:r/>
      <w:bookmarkStart w:id="42" w:name="_Toc78895076"/>
      <w:r/>
      <w:bookmarkStart w:id="43" w:name="_Toc78810213"/>
      <w:r/>
      <w:bookmarkStart w:id="44" w:name="_Toc178063807"/>
      <w:r>
        <w:rPr>
          <w:rFonts w:ascii="宋体" w:hAnsi="宋体" w:eastAsia="宋体"/>
          <w:color w:val="000000"/>
          <w:sz w:val="21"/>
          <w:szCs w:val="21"/>
          <w:highlight w:val="none"/>
        </w:rPr>
        <w:t xml:space="preserve">远程参与开标会议诚信承诺书</w:t>
      </w:r>
      <w:bookmarkEnd w:id="42"/>
      <w:r/>
      <w:bookmarkEnd w:id="43"/>
      <w:r/>
      <w:bookmarkEnd w:id="44"/>
      <w:r>
        <w:rPr>
          <w:rFonts w:ascii="宋体" w:hAnsi="宋体" w:eastAsia="宋体"/>
          <w:color w:val="000000"/>
          <w:sz w:val="21"/>
          <w:szCs w:val="21"/>
          <w:highlight w:val="none"/>
          <w:lang w:val="zh-CN"/>
        </w:rPr>
      </w:r>
      <w:r/>
    </w:p>
    <w:p>
      <w:pPr>
        <w:pStyle w:val="922"/>
        <w:ind w:firstLine="420"/>
        <w:jc w:val="center"/>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远程参与开标会议诚信承诺书</w:t>
      </w:r>
      <w:r>
        <w:rPr>
          <w:rFonts w:ascii="宋体" w:hAnsi="宋体"/>
          <w:b/>
          <w:color w:val="000000"/>
          <w:szCs w:val="21"/>
          <w:highlight w:val="none"/>
          <w:lang w:val="zh-CN"/>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致:</w:t>
      </w:r>
      <w:r>
        <w:rPr>
          <w:rFonts w:hint="eastAsia" w:ascii="宋体" w:hAnsi="宋体"/>
          <w:color w:val="000000"/>
          <w:szCs w:val="21"/>
          <w:highlight w:val="non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采购</w:t>
      </w:r>
      <w:r>
        <w:rPr>
          <w:rFonts w:ascii="宋体" w:hAnsi="宋体"/>
          <w:color w:val="000000"/>
          <w:szCs w:val="21"/>
          <w:highlight w:val="none"/>
        </w:rPr>
        <w:t xml:space="preserve">人)</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我方郑重承诺:遵循公开、公平、公正和诚实守信的原则，参加本次远程开标会议，是我方真实意思的表达。</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highlight w:val="none"/>
        </w:rPr>
        <w:t xml:space="preserve">（响应）</w:t>
      </w:r>
      <w:r>
        <w:rPr>
          <w:rFonts w:ascii="宋体" w:hAnsi="宋体"/>
          <w:color w:val="000000"/>
          <w:szCs w:val="21"/>
          <w:highlight w:val="none"/>
        </w:rPr>
        <w:t xml:space="preserve">。</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二、严格遵守法律、法规和</w:t>
      </w:r>
      <w:r>
        <w:rPr>
          <w:rFonts w:hint="eastAsia" w:ascii="宋体" w:hAnsi="宋体"/>
          <w:color w:val="000000"/>
          <w:szCs w:val="21"/>
          <w:highlight w:val="none"/>
        </w:rPr>
        <w:t xml:space="preserve">采购</w:t>
      </w:r>
      <w:r>
        <w:rPr>
          <w:rFonts w:ascii="宋体" w:hAnsi="宋体"/>
          <w:color w:val="000000"/>
          <w:szCs w:val="21"/>
          <w:highlight w:val="none"/>
        </w:rPr>
        <w:t xml:space="preserve">文件规定的投标</w:t>
      </w:r>
      <w:r>
        <w:rPr>
          <w:rFonts w:hint="eastAsia" w:ascii="宋体" w:hAnsi="宋体"/>
          <w:color w:val="000000"/>
          <w:szCs w:val="21"/>
          <w:highlight w:val="none"/>
        </w:rPr>
        <w:t xml:space="preserve">（响应）</w:t>
      </w:r>
      <w:r>
        <w:rPr>
          <w:rFonts w:ascii="宋体" w:hAnsi="宋体"/>
          <w:color w:val="000000"/>
          <w:szCs w:val="21"/>
          <w:highlight w:val="none"/>
        </w:rPr>
        <w:t xml:space="preserve">程序。不隐瞒真实情况，不弄虚作假，不骗取投标</w:t>
      </w:r>
      <w:r>
        <w:rPr>
          <w:rFonts w:hint="eastAsia" w:ascii="宋体" w:hAnsi="宋体"/>
          <w:color w:val="000000"/>
          <w:szCs w:val="21"/>
          <w:highlight w:val="none"/>
        </w:rPr>
        <w:t xml:space="preserve">（响应）</w:t>
      </w:r>
      <w:r>
        <w:rPr>
          <w:rFonts w:ascii="宋体" w:hAnsi="宋体"/>
          <w:color w:val="000000"/>
          <w:szCs w:val="21"/>
          <w:highlight w:val="none"/>
        </w:rPr>
        <w:t xml:space="preserve">和中标</w:t>
      </w:r>
      <w:r>
        <w:rPr>
          <w:rFonts w:hint="eastAsia" w:ascii="宋体" w:hAnsi="宋体"/>
          <w:color w:val="000000"/>
          <w:szCs w:val="21"/>
          <w:highlight w:val="none"/>
        </w:rPr>
        <w:t xml:space="preserve">（成交）</w:t>
      </w:r>
      <w:r>
        <w:rPr>
          <w:rFonts w:ascii="宋体" w:hAnsi="宋体"/>
          <w:color w:val="000000"/>
          <w:szCs w:val="21"/>
          <w:highlight w:val="none"/>
        </w:rPr>
        <w:t xml:space="preserve">资格。</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三、坚决抵制和杜绝串标、围标、哄抬报价、贿赂、回扣等违法投标</w:t>
      </w:r>
      <w:r>
        <w:rPr>
          <w:rFonts w:hint="eastAsia" w:ascii="宋体" w:hAnsi="宋体"/>
          <w:color w:val="000000"/>
          <w:szCs w:val="21"/>
          <w:highlight w:val="none"/>
        </w:rPr>
        <w:t xml:space="preserve">（响应）</w:t>
      </w:r>
      <w:r>
        <w:rPr>
          <w:rFonts w:ascii="宋体" w:hAnsi="宋体"/>
          <w:color w:val="000000"/>
          <w:szCs w:val="21"/>
          <w:highlight w:val="none"/>
        </w:rPr>
        <w:t xml:space="preserve">和不正当竞争行为。</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四、依法经营，公平竞争，不采取违法、违规或不正当手段损害、侵犯同行企业的正当权益。</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五、遵守指令、不擅离职守。开标</w:t>
      </w:r>
      <w:r>
        <w:rPr>
          <w:rFonts w:hint="eastAsia" w:ascii="宋体" w:hAnsi="宋体"/>
          <w:color w:val="000000"/>
          <w:szCs w:val="21"/>
          <w:highlight w:val="none"/>
        </w:rPr>
        <w:t xml:space="preserve">评审</w:t>
      </w:r>
      <w:r>
        <w:rPr>
          <w:rFonts w:ascii="宋体" w:hAnsi="宋体"/>
          <w:color w:val="000000"/>
          <w:szCs w:val="21"/>
          <w:highlight w:val="none"/>
        </w:rPr>
        <w:t xml:space="preserve">过程中,我方将坚持全程参加开评标会议，积极响应</w:t>
      </w:r>
      <w:r>
        <w:rPr>
          <w:rFonts w:hint="eastAsia" w:ascii="宋体" w:hAnsi="宋体"/>
          <w:color w:val="000000"/>
          <w:szCs w:val="21"/>
          <w:highlight w:val="none"/>
        </w:rPr>
        <w:t xml:space="preserve">采购</w:t>
      </w:r>
      <w:r>
        <w:rPr>
          <w:rFonts w:ascii="宋体" w:hAnsi="宋体"/>
          <w:color w:val="000000"/>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highlight w:val="none"/>
        </w:rPr>
        <w:t xml:space="preserve">采购</w:t>
      </w:r>
      <w:r>
        <w:rPr>
          <w:rFonts w:ascii="宋体" w:hAnsi="宋体"/>
          <w:color w:val="000000"/>
          <w:szCs w:val="21"/>
          <w:highlight w:val="none"/>
        </w:rPr>
        <w:t xml:space="preserve">人任意处置决定，接受包括终止投标</w:t>
      </w:r>
      <w:r>
        <w:rPr>
          <w:rFonts w:hint="eastAsia" w:ascii="宋体" w:hAnsi="宋体"/>
          <w:color w:val="000000"/>
          <w:szCs w:val="21"/>
          <w:highlight w:val="none"/>
        </w:rPr>
        <w:t xml:space="preserve">（响应）</w:t>
      </w:r>
      <w:r>
        <w:rPr>
          <w:rFonts w:ascii="宋体" w:hAnsi="宋体"/>
          <w:color w:val="000000"/>
          <w:szCs w:val="21"/>
          <w:highlight w:val="none"/>
        </w:rPr>
        <w:t xml:space="preserve">资格在内的任何处理结果。</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highlight w:val="none"/>
        </w:rPr>
        <w:t xml:space="preserve">（响应）</w:t>
      </w:r>
      <w:r>
        <w:rPr>
          <w:rFonts w:ascii="宋体" w:hAnsi="宋体"/>
          <w:color w:val="000000"/>
          <w:szCs w:val="21"/>
          <w:highlight w:val="none"/>
        </w:rPr>
        <w:t xml:space="preserve">或者不能进行现场实时交互的，均由我方自行承担一切后果。</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七、不向</w:t>
      </w:r>
      <w:r>
        <w:rPr>
          <w:rFonts w:hint="eastAsia" w:ascii="宋体" w:hAnsi="宋体"/>
          <w:color w:val="000000"/>
          <w:szCs w:val="21"/>
          <w:highlight w:val="none"/>
        </w:rPr>
        <w:t xml:space="preserve">采购</w:t>
      </w:r>
      <w:r>
        <w:rPr>
          <w:rFonts w:ascii="宋体" w:hAnsi="宋体"/>
          <w:color w:val="000000"/>
          <w:szCs w:val="21"/>
          <w:highlight w:val="none"/>
        </w:rPr>
        <w:t xml:space="preserve">人或</w:t>
      </w:r>
      <w:r>
        <w:rPr>
          <w:rFonts w:hint="eastAsia" w:ascii="宋体" w:hAnsi="宋体"/>
          <w:color w:val="000000"/>
          <w:szCs w:val="21"/>
          <w:highlight w:val="none"/>
        </w:rPr>
        <w:t xml:space="preserve">评审专家</w:t>
      </w:r>
      <w:r>
        <w:rPr>
          <w:rFonts w:ascii="宋体" w:hAnsi="宋体"/>
          <w:color w:val="000000"/>
          <w:szCs w:val="21"/>
          <w:highlight w:val="none"/>
        </w:rPr>
        <w:t xml:space="preserve">或相关人员行贿，以牟取中标。</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八、我方将在法律、法规框架允许的范围内就有关评审过程中的事项向管理人员提出咨询或疑问</w:t>
      </w:r>
      <w:r>
        <w:rPr>
          <w:rFonts w:hint="eastAsia" w:ascii="宋体" w:hAnsi="宋体"/>
          <w:color w:val="000000"/>
          <w:szCs w:val="21"/>
          <w:highlight w:val="none"/>
        </w:rPr>
        <w:t xml:space="preserve">。</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w:t>
      </w:r>
      <w:r>
        <w:rPr>
          <w:rFonts w:ascii="宋体" w:hAnsi="宋体"/>
          <w:color w:val="000000"/>
          <w:szCs w:val="21"/>
          <w:highlight w:val="none"/>
        </w:rPr>
        <w:t xml:space="preserve">我方若有违反承诺内容的行为，自愿接受取消投标</w:t>
      </w:r>
      <w:r>
        <w:rPr>
          <w:rFonts w:hint="eastAsia" w:ascii="宋体" w:hAnsi="宋体"/>
          <w:color w:val="000000"/>
          <w:szCs w:val="21"/>
          <w:highlight w:val="none"/>
        </w:rPr>
        <w:t xml:space="preserve">（响应）</w:t>
      </w:r>
      <w:r>
        <w:rPr>
          <w:rFonts w:ascii="宋体" w:hAnsi="宋体"/>
          <w:color w:val="000000"/>
          <w:szCs w:val="21"/>
          <w:highlight w:val="none"/>
        </w:rPr>
        <w:t xml:space="preserve">资格、将不良行为记录记入档案、没收投标</w:t>
      </w:r>
      <w:r>
        <w:rPr>
          <w:rFonts w:hint="eastAsia" w:ascii="宋体" w:hAnsi="宋体"/>
          <w:color w:val="000000"/>
          <w:szCs w:val="21"/>
          <w:highlight w:val="none"/>
        </w:rPr>
        <w:t xml:space="preserve">（响应）</w:t>
      </w:r>
      <w:r>
        <w:rPr>
          <w:rFonts w:ascii="宋体" w:hAnsi="宋体"/>
          <w:color w:val="000000"/>
          <w:szCs w:val="21"/>
          <w:highlight w:val="none"/>
        </w:rPr>
        <w:t xml:space="preserve">保证金等有关处理，并承担相应的法律责任。给</w:t>
      </w:r>
      <w:r>
        <w:rPr>
          <w:rFonts w:hint="eastAsia" w:ascii="宋体" w:hAnsi="宋体"/>
          <w:color w:val="000000"/>
          <w:szCs w:val="21"/>
          <w:highlight w:val="none"/>
        </w:rPr>
        <w:t xml:space="preserve">采购</w:t>
      </w:r>
      <w:r>
        <w:rPr>
          <w:rFonts w:ascii="宋体" w:hAnsi="宋体"/>
          <w:color w:val="000000"/>
          <w:szCs w:val="21"/>
          <w:highlight w:val="none"/>
        </w:rPr>
        <w:t xml:space="preserve">人造成损失的，依法承担赔偿责任。</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承诺单位(盖章):</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法定代表人(签名):</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ascii="宋体" w:hAnsi="宋体"/>
          <w:color w:val="000000"/>
          <w:szCs w:val="21"/>
          <w:highlight w:val="none"/>
        </w:rPr>
        <w:t xml:space="preserve">授权委托人(签名):</w:t>
      </w:r>
      <w:r>
        <w:rPr>
          <w:rFonts w:ascii="宋体" w:hAnsi="宋体"/>
          <w:color w:val="000000"/>
          <w:szCs w:val="21"/>
          <w:highlight w:val="none"/>
        </w:rPr>
      </w:r>
      <w:r/>
    </w:p>
    <w:p>
      <w:pPr>
        <w:pStyle w:val="941"/>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w:t>
      </w:r>
      <w:r>
        <w:rPr>
          <w:rFonts w:ascii="宋体" w:hAnsi="宋体" w:eastAsia="宋体"/>
          <w:color w:val="000000"/>
          <w:sz w:val="21"/>
          <w:szCs w:val="21"/>
          <w:highlight w:val="none"/>
        </w:rPr>
        <w:t xml:space="preserve">年</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月</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924"/>
        <w:spacing w:line="416" w:lineRule="auto"/>
        <w:rPr>
          <w:rFonts w:ascii="宋体" w:hAnsi="宋体" w:eastAsia="宋体"/>
          <w:color w:val="000000"/>
          <w:sz w:val="21"/>
          <w:szCs w:val="21"/>
          <w:highlight w:val="none"/>
        </w:rPr>
      </w:pPr>
      <w:r/>
      <w:bookmarkStart w:id="45" w:name="_Toc178063808"/>
      <w:r>
        <w:rPr>
          <w:rFonts w:ascii="宋体" w:hAnsi="宋体" w:eastAsia="宋体"/>
          <w:color w:val="000000"/>
          <w:sz w:val="21"/>
          <w:szCs w:val="21"/>
          <w:highlight w:val="none"/>
        </w:rPr>
        <w:t xml:space="preserve">投标单位情况表</w:t>
      </w:r>
      <w:bookmarkEnd w:id="45"/>
      <w:r>
        <w:rPr>
          <w:rFonts w:ascii="宋体" w:hAnsi="宋体" w:eastAsia="宋体"/>
          <w:color w:val="000000"/>
          <w:sz w:val="21"/>
          <w:szCs w:val="21"/>
          <w:highlight w:val="none"/>
        </w:rPr>
      </w:r>
      <w:r/>
    </w:p>
    <w:p>
      <w:pPr>
        <w:pStyle w:val="941"/>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投标单位情况表</w:t>
      </w:r>
      <w:r>
        <w:rPr>
          <w:rFonts w:ascii="宋体" w:hAnsi="宋体" w:eastAsia="宋体"/>
          <w:color w:val="000000"/>
          <w:sz w:val="21"/>
          <w:szCs w:val="21"/>
          <w:highlight w:val="none"/>
        </w:rPr>
      </w:r>
      <w:r/>
    </w:p>
    <w:p>
      <w:pPr>
        <w:pStyle w:val="941"/>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单位名称（盖章）</w:t>
      </w:r>
      <w:r>
        <w:rPr>
          <w:rFonts w:ascii="宋体" w:hAnsi="宋体" w:eastAsia="宋体"/>
          <w:color w:val="000000"/>
          <w:sz w:val="21"/>
          <w:szCs w:val="21"/>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77"/>
        <w:gridCol w:w="1792"/>
        <w:gridCol w:w="1610"/>
        <w:gridCol w:w="147"/>
        <w:gridCol w:w="1366"/>
        <w:gridCol w:w="1235"/>
      </w:tblGrid>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r>
            <w:r/>
          </w:p>
        </w:tc>
        <w:tc>
          <w:tcPr>
            <w:tcW w:w="1792"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75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成立日期</w:t>
            </w:r>
            <w:r>
              <w:rPr>
                <w:rFonts w:ascii="宋体" w:hAnsi="宋体" w:eastAsia="宋体"/>
                <w:color w:val="000000"/>
                <w:sz w:val="21"/>
                <w:szCs w:val="21"/>
                <w:highlight w:val="none"/>
              </w:rPr>
            </w:r>
            <w:r/>
          </w:p>
        </w:tc>
        <w:tc>
          <w:tcPr>
            <w:gridSpan w:val="2"/>
            <w:tcW w:w="2601"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企业地址</w:t>
            </w:r>
            <w:r>
              <w:rPr>
                <w:rFonts w:ascii="宋体" w:hAnsi="宋体" w:eastAsia="宋体"/>
                <w:color w:val="000000"/>
                <w:sz w:val="21"/>
                <w:szCs w:val="21"/>
                <w:highlight w:val="none"/>
              </w:rPr>
            </w:r>
            <w:r/>
          </w:p>
        </w:tc>
        <w:tc>
          <w:tcPr>
            <w:tcW w:w="1792"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75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注册资本</w:t>
            </w:r>
            <w:r>
              <w:rPr>
                <w:rFonts w:ascii="宋体" w:hAnsi="宋体" w:eastAsia="宋体"/>
                <w:color w:val="000000"/>
                <w:sz w:val="21"/>
                <w:szCs w:val="21"/>
                <w:highlight w:val="none"/>
              </w:rPr>
            </w:r>
            <w:r/>
          </w:p>
        </w:tc>
        <w:tc>
          <w:tcPr>
            <w:gridSpan w:val="2"/>
            <w:tcW w:w="2601" w:type="dxa"/>
            <w:vAlign w:val="top"/>
            <w:textDirection w:val="lrTb"/>
            <w:noWrap w:val="false"/>
          </w:tcPr>
          <w:p>
            <w:pPr>
              <w:pStyle w:val="941"/>
              <w:ind w:firstLine="168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经营范围</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职工人数</w:t>
            </w:r>
            <w:r>
              <w:rPr>
                <w:rFonts w:ascii="宋体" w:hAnsi="宋体" w:eastAsia="宋体"/>
                <w:color w:val="000000"/>
                <w:sz w:val="21"/>
                <w:szCs w:val="21"/>
                <w:highlight w:val="none"/>
              </w:rPr>
            </w:r>
            <w:r/>
          </w:p>
        </w:tc>
        <w:tc>
          <w:tcPr>
            <w:tcW w:w="1792"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3"/>
            <w:tcW w:w="3123"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其中：有中高级以上职称的人数</w:t>
            </w:r>
            <w:r>
              <w:rPr>
                <w:rFonts w:ascii="宋体" w:hAnsi="宋体" w:eastAsia="宋体"/>
                <w:color w:val="000000"/>
                <w:sz w:val="21"/>
                <w:szCs w:val="21"/>
                <w:highlight w:val="none"/>
              </w:rPr>
            </w:r>
            <w:r/>
          </w:p>
        </w:tc>
        <w:tc>
          <w:tcPr>
            <w:tcW w:w="1235"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资产总额</w:t>
            </w:r>
            <w:r>
              <w:rPr>
                <w:rFonts w:ascii="宋体" w:hAnsi="宋体" w:eastAsia="宋体"/>
                <w:color w:val="000000"/>
                <w:sz w:val="21"/>
                <w:szCs w:val="21"/>
                <w:highlight w:val="none"/>
              </w:rPr>
            </w:r>
            <w:r/>
          </w:p>
        </w:tc>
        <w:tc>
          <w:tcPr>
            <w:tcW w:w="1792"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万元</w:t>
            </w:r>
            <w:r>
              <w:rPr>
                <w:rFonts w:ascii="宋体" w:hAnsi="宋体" w:eastAsia="宋体"/>
                <w:color w:val="000000"/>
                <w:sz w:val="21"/>
                <w:szCs w:val="21"/>
                <w:highlight w:val="none"/>
              </w:rPr>
            </w:r>
            <w:r/>
          </w:p>
        </w:tc>
        <w:tc>
          <w:tcPr>
            <w:tcW w:w="161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净资产</w:t>
            </w:r>
            <w:r>
              <w:rPr>
                <w:rFonts w:ascii="宋体" w:hAnsi="宋体" w:eastAsia="宋体"/>
                <w:color w:val="000000"/>
                <w:sz w:val="21"/>
                <w:szCs w:val="21"/>
                <w:highlight w:val="none"/>
              </w:rPr>
            </w:r>
            <w:r/>
          </w:p>
        </w:tc>
        <w:tc>
          <w:tcPr>
            <w:gridSpan w:val="3"/>
            <w:tcW w:w="2748"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股东权益</w:t>
            </w:r>
            <w:r>
              <w:rPr>
                <w:rFonts w:ascii="宋体" w:hAnsi="宋体" w:eastAsia="宋体"/>
                <w:color w:val="000000"/>
                <w:sz w:val="21"/>
                <w:szCs w:val="21"/>
                <w:highlight w:val="none"/>
              </w:rPr>
            </w:r>
            <w:r/>
          </w:p>
        </w:tc>
        <w:tc>
          <w:tcPr>
            <w:tcW w:w="1792"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万元</w:t>
            </w:r>
            <w:r>
              <w:rPr>
                <w:rFonts w:ascii="宋体" w:hAnsi="宋体" w:eastAsia="宋体"/>
                <w:color w:val="000000"/>
                <w:sz w:val="21"/>
                <w:szCs w:val="21"/>
                <w:highlight w:val="none"/>
              </w:rPr>
            </w:r>
            <w:r/>
          </w:p>
        </w:tc>
        <w:tc>
          <w:tcPr>
            <w:tcW w:w="161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销售收入</w:t>
            </w:r>
            <w:r>
              <w:rPr>
                <w:rFonts w:ascii="宋体" w:hAnsi="宋体" w:eastAsia="宋体"/>
                <w:color w:val="000000"/>
                <w:sz w:val="21"/>
                <w:szCs w:val="21"/>
                <w:highlight w:val="none"/>
              </w:rPr>
            </w:r>
            <w:r/>
          </w:p>
        </w:tc>
        <w:tc>
          <w:tcPr>
            <w:gridSpan w:val="3"/>
            <w:tcW w:w="2748"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年          </w:t>
            </w: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实现利润</w:t>
            </w:r>
            <w:r>
              <w:rPr>
                <w:rFonts w:ascii="宋体" w:hAnsi="宋体" w:eastAsia="宋体"/>
                <w:color w:val="000000"/>
                <w:sz w:val="21"/>
                <w:szCs w:val="21"/>
                <w:highlight w:val="none"/>
              </w:rPr>
            </w:r>
            <w:r/>
          </w:p>
        </w:tc>
        <w:tc>
          <w:tcPr>
            <w:tcW w:w="1792"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年  </w:t>
            </w:r>
            <w:r>
              <w:rPr>
                <w:rFonts w:hint="eastAsia" w:ascii="宋体" w:hAnsi="宋体" w:eastAsia="宋体"/>
                <w:color w:val="000000"/>
                <w:sz w:val="21"/>
                <w:szCs w:val="21"/>
                <w:highlight w:val="none"/>
              </w:rPr>
              <w:t xml:space="preserve">    万元</w:t>
            </w:r>
            <w:r>
              <w:rPr>
                <w:rFonts w:ascii="宋体" w:hAnsi="宋体" w:eastAsia="宋体"/>
                <w:color w:val="000000"/>
                <w:sz w:val="21"/>
                <w:szCs w:val="21"/>
                <w:highlight w:val="none"/>
              </w:rPr>
            </w:r>
            <w:r/>
          </w:p>
        </w:tc>
        <w:tc>
          <w:tcPr>
            <w:tcW w:w="161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3"/>
            <w:tcW w:w="2748"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营业面积</w:t>
            </w:r>
            <w:r>
              <w:rPr>
                <w:rFonts w:ascii="宋体" w:hAnsi="宋体" w:eastAsia="宋体"/>
                <w:color w:val="000000"/>
                <w:sz w:val="21"/>
                <w:szCs w:val="21"/>
                <w:highlight w:val="none"/>
              </w:rPr>
            </w:r>
            <w:r/>
          </w:p>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（含厂房面积）</w:t>
            </w:r>
            <w:r>
              <w:rPr>
                <w:rFonts w:ascii="宋体" w:hAnsi="宋体" w:eastAsia="宋体"/>
                <w:color w:val="000000"/>
                <w:sz w:val="21"/>
                <w:szCs w:val="21"/>
                <w:highlight w:val="none"/>
              </w:rPr>
            </w:r>
            <w:r/>
          </w:p>
        </w:tc>
        <w:tc>
          <w:tcPr>
            <w:tcW w:w="1792"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平方米</w:t>
            </w:r>
            <w:r>
              <w:rPr>
                <w:rFonts w:ascii="宋体" w:hAnsi="宋体" w:eastAsia="宋体"/>
                <w:color w:val="000000"/>
                <w:sz w:val="21"/>
                <w:szCs w:val="21"/>
                <w:highlight w:val="none"/>
              </w:rPr>
            </w:r>
            <w:r/>
          </w:p>
        </w:tc>
        <w:tc>
          <w:tcPr>
            <w:tcW w:w="161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w:t>
            </w:r>
            <w:r>
              <w:rPr>
                <w:rFonts w:ascii="宋体" w:hAnsi="宋体" w:eastAsia="宋体"/>
                <w:color w:val="000000"/>
                <w:sz w:val="21"/>
                <w:szCs w:val="21"/>
                <w:highlight w:val="none"/>
              </w:rPr>
            </w:r>
            <w:r/>
          </w:p>
        </w:tc>
        <w:tc>
          <w:tcPr>
            <w:gridSpan w:val="3"/>
            <w:tcW w:w="2748"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自有面积</w:t>
            </w:r>
            <w:r>
              <w:rPr>
                <w:rFonts w:ascii="宋体" w:hAnsi="宋体" w:eastAsia="宋体"/>
                <w:color w:val="000000"/>
                <w:sz w:val="21"/>
                <w:szCs w:val="21"/>
                <w:highlight w:val="none"/>
              </w:rPr>
              <w:t xml:space="preserve">       平方米</w:t>
            </w:r>
            <w:r>
              <w:rPr>
                <w:rFonts w:ascii="宋体" w:hAnsi="宋体" w:eastAsia="宋体"/>
                <w:color w:val="000000"/>
                <w:sz w:val="21"/>
                <w:szCs w:val="21"/>
                <w:highlight w:val="none"/>
              </w:rPr>
            </w:r>
            <w:r/>
          </w:p>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承租面积</w:t>
            </w:r>
            <w:r>
              <w:rPr>
                <w:rFonts w:ascii="宋体" w:hAnsi="宋体" w:eastAsia="宋体"/>
                <w:color w:val="000000"/>
                <w:sz w:val="21"/>
                <w:szCs w:val="21"/>
                <w:highlight w:val="none"/>
              </w:rPr>
              <w:t xml:space="preserve">       平方米</w:t>
            </w: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单位简历及内设机构情况</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单位优势及特长</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职工“三险”缴纳情况</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近三年来完成或正在履行的重大合同情况</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2年内在经营过程中受到何种奖励或处分</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3年内有无因售假、售劣或是其他原因被消费者投诉或起诉的情况及说明</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（包括解决方式和结果）</w:t>
            </w: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3年内主要负责人有无因经济犯罪被司法机关追究的情况及说明</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获得技术认证的工程师及简介</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510"/>
        </w:trPr>
        <w:tc>
          <w:tcPr>
            <w:tcW w:w="2977"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5"/>
            <w:tcW w:w="6150" w:type="dxa"/>
            <w:vAlign w:val="top"/>
            <w:textDirection w:val="lrTb"/>
            <w:noWrap w:val="false"/>
          </w:tcPr>
          <w:p>
            <w:pPr>
              <w:pStyle w:val="94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22"/>
        <w:rPr>
          <w:rFonts w:hint="eastAsia" w:ascii="宋体" w:hAnsi="宋体"/>
          <w:szCs w:val="21"/>
          <w:highlight w:val="none"/>
        </w:rPr>
      </w:pPr>
      <w:r>
        <w:rPr>
          <w:rFonts w:hint="eastAsia" w:ascii="宋体" w:hAnsi="宋体"/>
          <w:szCs w:val="21"/>
          <w:highlight w:val="none"/>
        </w:rPr>
      </w:r>
      <w:r/>
    </w:p>
    <w:p>
      <w:pPr>
        <w:pStyle w:val="922"/>
        <w:jc w:val="left"/>
        <w:widowControl/>
        <w:rPr>
          <w:rFonts w:hint="eastAsia" w:ascii="Times New Roman" w:hAnsi="Times New Roman"/>
          <w:highlight w:val="none"/>
        </w:rPr>
      </w:pPr>
      <w:r>
        <w:rPr>
          <w:rFonts w:hint="eastAsia" w:ascii="Times New Roman" w:hAnsi="Times New Roman"/>
          <w:highlight w:val="none"/>
        </w:rPr>
      </w:r>
      <w:r/>
    </w:p>
    <w:p>
      <w:pPr>
        <w:pStyle w:val="995"/>
        <w:ind w:left="210" w:firstLine="480"/>
        <w:spacing w:line="240" w:lineRule="auto"/>
        <w:rPr>
          <w:color w:val="000000"/>
          <w:sz w:val="24"/>
          <w:szCs w:val="24"/>
          <w:highlight w:val="none"/>
        </w:rPr>
      </w:pPr>
      <w:r>
        <w:rPr>
          <w:color w:val="000000"/>
          <w:sz w:val="24"/>
          <w:szCs w:val="24"/>
          <w:highlight w:val="none"/>
        </w:rPr>
        <w:br w:type="page" w:clear="all"/>
      </w:r>
      <w:bookmarkStart w:id="46" w:name="_Toc178063809"/>
      <w:r>
        <w:rPr>
          <w:rFonts w:hint="eastAsia"/>
          <w:color w:val="000000"/>
          <w:sz w:val="24"/>
          <w:szCs w:val="24"/>
          <w:highlight w:val="none"/>
        </w:rPr>
        <w:t xml:space="preserve">第四章  招标书</w:t>
      </w:r>
      <w:bookmarkEnd w:id="46"/>
      <w:r>
        <w:rPr>
          <w:color w:val="000000"/>
          <w:sz w:val="24"/>
          <w:szCs w:val="24"/>
          <w:highlight w:val="none"/>
        </w:rPr>
      </w:r>
      <w:r/>
    </w:p>
    <w:p>
      <w:pPr>
        <w:pStyle w:val="922"/>
        <w:ind w:firstLine="420"/>
        <w:spacing w:line="360" w:lineRule="auto"/>
        <w:rPr>
          <w:rFonts w:ascii="宋体" w:hAnsi="宋体"/>
          <w:color w:val="000000"/>
          <w:szCs w:val="21"/>
          <w:highlight w:val="none"/>
        </w:rPr>
      </w:pPr>
      <w:r/>
      <w:bookmarkStart w:id="47" w:name="_Toc266088666"/>
      <w:r/>
      <w:bookmarkStart w:id="48" w:name="_Toc339548794"/>
      <w:r/>
      <w:bookmarkStart w:id="49" w:name="_Toc475023243"/>
      <w:r/>
      <w:bookmarkStart w:id="50" w:name="_Toc328386624"/>
      <w:r>
        <w:rPr>
          <w:rFonts w:hint="eastAsia" w:ascii="宋体" w:hAnsi="宋体"/>
          <w:color w:val="000000"/>
          <w:szCs w:val="21"/>
          <w:highlight w:val="none"/>
        </w:rPr>
        <w:t xml:space="preserve">受昆山高新技术产业开发区管理委员会（昆山市玉山镇人民政府民政科）的委托，苏州公正建设咨询房地产评估有限公司作为招标代理人，为采购单位拟采购的昆山高新区社会事业局养老助餐服务项目进行国内公开招标。</w:t>
      </w:r>
      <w:r>
        <w:rPr>
          <w:rFonts w:ascii="宋体" w:hAnsi="宋体"/>
          <w:color w:val="000000"/>
          <w:szCs w:val="21"/>
          <w:highlight w:val="none"/>
        </w:rPr>
      </w:r>
      <w:r/>
    </w:p>
    <w:p>
      <w:pPr>
        <w:pStyle w:val="922"/>
        <w:ind w:firstLine="420"/>
        <w:spacing w:line="360" w:lineRule="auto"/>
        <w:rPr>
          <w:rFonts w:hint="eastAsia" w:ascii="宋体" w:hAnsi="宋体"/>
          <w:color w:val="000000"/>
          <w:szCs w:val="21"/>
          <w:highlight w:val="none"/>
        </w:rPr>
      </w:pPr>
      <w:r/>
      <w:bookmarkEnd w:id="47"/>
      <w:r/>
      <w:bookmarkEnd w:id="48"/>
      <w:r>
        <w:rPr>
          <w:rFonts w:hint="eastAsia" w:ascii="宋体" w:hAnsi="宋体"/>
          <w:b/>
          <w:color w:val="000000"/>
          <w:szCs w:val="21"/>
          <w:highlight w:val="none"/>
        </w:rPr>
        <w:t xml:space="preserve">一、项目名称：</w:t>
      </w:r>
      <w:r>
        <w:rPr>
          <w:rFonts w:hint="eastAsia" w:ascii="宋体" w:hAnsi="宋体"/>
          <w:color w:val="000000"/>
          <w:szCs w:val="21"/>
          <w:highlight w:val="none"/>
        </w:rPr>
        <w:t xml:space="preserve">昆山高新区社会事业局养老助餐服务项目</w:t>
      </w:r>
      <w:r>
        <w:rPr>
          <w:rFonts w:hint="eastAsia" w:ascii="宋体" w:hAnsi="宋体"/>
          <w:color w:val="000000"/>
          <w:szCs w:val="21"/>
          <w:highlight w:val="none"/>
        </w:rPr>
      </w:r>
      <w:r/>
    </w:p>
    <w:p>
      <w:pPr>
        <w:pStyle w:val="922"/>
        <w:ind w:firstLine="42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二、项目预算：人民币叁佰玖拾万元整（¥：3900000.00元），</w:t>
      </w:r>
      <w:r>
        <w:rPr>
          <w:rFonts w:hint="eastAsia" w:ascii="宋体" w:hAnsi="宋体"/>
          <w:sz w:val="24"/>
          <w:highlight w:val="none"/>
        </w:rPr>
        <w:t xml:space="preserve">最高限单价25.07元/份。</w:t>
      </w:r>
      <w:r>
        <w:rPr>
          <w:rFonts w:hint="eastAsia" w:ascii="宋体" w:hAnsi="宋体"/>
          <w:b/>
          <w:color w:val="000000"/>
          <w:szCs w:val="21"/>
          <w:highlight w:val="none"/>
        </w:rPr>
      </w:r>
      <w:r/>
    </w:p>
    <w:p>
      <w:pPr>
        <w:pStyle w:val="922"/>
        <w:ind w:firstLine="420"/>
        <w:spacing w:line="360" w:lineRule="auto"/>
        <w:rPr>
          <w:rFonts w:hint="eastAsia"/>
          <w:b/>
          <w:szCs w:val="21"/>
          <w:highlight w:val="none"/>
        </w:rPr>
      </w:pPr>
      <w:r>
        <w:rPr>
          <w:b/>
          <w:szCs w:val="21"/>
          <w:highlight w:val="none"/>
        </w:rPr>
        <w:t xml:space="preserve">三、</w:t>
      </w:r>
      <w:r>
        <w:rPr>
          <w:rFonts w:hint="eastAsia"/>
          <w:b/>
          <w:szCs w:val="21"/>
          <w:highlight w:val="none"/>
        </w:rPr>
        <w:t xml:space="preserve">服务</w:t>
      </w:r>
      <w:r>
        <w:rPr>
          <w:b/>
          <w:szCs w:val="21"/>
          <w:highlight w:val="none"/>
        </w:rPr>
        <w:t xml:space="preserve">期限：</w:t>
      </w:r>
      <w:r>
        <w:rPr>
          <w:rFonts w:hint="eastAsia"/>
          <w:b/>
          <w:szCs w:val="21"/>
          <w:highlight w:val="none"/>
        </w:rPr>
        <w:t xml:space="preserve">1年</w:t>
      </w:r>
      <w:r>
        <w:rPr>
          <w:b/>
          <w:szCs w:val="21"/>
          <w:highlight w:val="none"/>
        </w:rPr>
        <w:t xml:space="preserve">。</w:t>
      </w:r>
      <w:r>
        <w:rPr>
          <w:rFonts w:hint="eastAsia"/>
          <w:b/>
          <w:szCs w:val="21"/>
          <w:highlight w:val="none"/>
        </w:rPr>
      </w:r>
      <w:r/>
    </w:p>
    <w:p>
      <w:pPr>
        <w:pStyle w:val="922"/>
        <w:ind w:firstLine="420"/>
        <w:rPr>
          <w:rFonts w:hint="eastAsia"/>
          <w:b/>
          <w:szCs w:val="21"/>
          <w:highlight w:val="none"/>
        </w:rPr>
      </w:pPr>
      <w:r>
        <w:rPr>
          <w:rFonts w:hint="eastAsia"/>
          <w:b/>
          <w:szCs w:val="21"/>
          <w:highlight w:val="none"/>
        </w:rPr>
        <w:t xml:space="preserve">四、采购内容及要求 ：</w:t>
      </w:r>
      <w:r>
        <w:rPr>
          <w:rFonts w:hint="eastAsia"/>
          <w:b/>
          <w:szCs w:val="21"/>
          <w:highlight w:val="none"/>
        </w:rPr>
      </w:r>
      <w:r/>
    </w:p>
    <w:p>
      <w:pPr>
        <w:pStyle w:val="922"/>
        <w:ind w:left="-210" w:right="176" w:firstLine="420"/>
        <w:spacing w:line="360" w:lineRule="auto"/>
        <w:rPr>
          <w:rFonts w:hint="eastAsia" w:ascii="宋体" w:hAnsi="宋体"/>
          <w:szCs w:val="21"/>
          <w:highlight w:val="none"/>
        </w:rPr>
      </w:pPr>
      <w:r>
        <w:rPr>
          <w:rFonts w:hint="eastAsia" w:ascii="宋体" w:hAnsi="宋体"/>
          <w:b/>
          <w:bCs/>
          <w:szCs w:val="21"/>
          <w:highlight w:val="none"/>
        </w:rPr>
        <w:t xml:space="preserve">1、服务对象</w:t>
      </w:r>
      <w:r>
        <w:rPr>
          <w:rFonts w:hint="eastAsia" w:ascii="宋体" w:hAnsi="宋体"/>
          <w:szCs w:val="21"/>
          <w:highlight w:val="none"/>
        </w:rPr>
        <w:t xml:space="preserve">: 高新区行政村区域内且有用餐需求的老人周一至周五午餐、晚餐。</w:t>
      </w:r>
      <w:r>
        <w:rPr>
          <w:rFonts w:hint="eastAsia" w:ascii="宋体" w:hAnsi="宋体"/>
          <w:szCs w:val="21"/>
          <w:highlight w:val="none"/>
        </w:rPr>
      </w:r>
      <w:r/>
    </w:p>
    <w:p>
      <w:pPr>
        <w:pStyle w:val="922"/>
        <w:ind w:left="-210" w:right="176" w:firstLine="420"/>
        <w:spacing w:line="360" w:lineRule="auto"/>
        <w:rPr>
          <w:rFonts w:hint="eastAsia" w:ascii="宋体" w:hAnsi="宋体"/>
          <w:szCs w:val="21"/>
          <w:highlight w:val="none"/>
        </w:rPr>
      </w:pPr>
      <w:r>
        <w:rPr>
          <w:rFonts w:hint="eastAsia" w:ascii="宋体" w:hAnsi="宋体"/>
          <w:b/>
          <w:bCs/>
          <w:szCs w:val="21"/>
          <w:highlight w:val="none"/>
        </w:rPr>
        <w:t xml:space="preserve">2、服务时间：</w:t>
      </w:r>
      <w:r>
        <w:rPr>
          <w:rFonts w:hint="eastAsia" w:ascii="宋体" w:hAnsi="宋体"/>
          <w:szCs w:val="21"/>
          <w:highlight w:val="none"/>
        </w:rPr>
        <w:t xml:space="preserve">壹年（具体以合同签订日期为准）</w:t>
      </w:r>
      <w:r>
        <w:rPr>
          <w:rFonts w:hint="eastAsia" w:ascii="宋体" w:hAnsi="宋体"/>
          <w:szCs w:val="21"/>
          <w:highlight w:val="none"/>
        </w:rPr>
      </w:r>
      <w:r/>
    </w:p>
    <w:p>
      <w:pPr>
        <w:pStyle w:val="922"/>
        <w:ind w:left="-210" w:right="176" w:firstLine="420"/>
        <w:spacing w:line="360" w:lineRule="auto"/>
        <w:rPr>
          <w:rFonts w:hint="eastAsia" w:ascii="宋体" w:hAnsi="宋体" w:cs="宋体"/>
          <w:bCs/>
          <w:szCs w:val="21"/>
          <w:highlight w:val="none"/>
        </w:rPr>
      </w:pPr>
      <w:r>
        <w:rPr>
          <w:rFonts w:hint="eastAsia" w:ascii="宋体" w:hAnsi="宋体"/>
          <w:b/>
          <w:bCs/>
          <w:szCs w:val="21"/>
          <w:highlight w:val="none"/>
        </w:rPr>
        <w:t xml:space="preserve">3、</w:t>
      </w:r>
      <w:bookmarkStart w:id="51" w:name="OLE_LINK12"/>
      <w:r/>
      <w:bookmarkStart w:id="52" w:name="OLE_LINK11"/>
      <w:r>
        <w:rPr>
          <w:rFonts w:hint="eastAsia" w:ascii="宋体" w:hAnsi="宋体" w:cs="宋体"/>
          <w:b/>
          <w:bCs/>
          <w:szCs w:val="21"/>
          <w:highlight w:val="none"/>
        </w:rPr>
        <w:t xml:space="preserve">配送时间：</w:t>
      </w:r>
      <w:r>
        <w:rPr>
          <w:rFonts w:hint="eastAsia" w:ascii="宋体" w:hAnsi="宋体" w:cs="宋体"/>
          <w:bCs/>
          <w:szCs w:val="21"/>
          <w:highlight w:val="none"/>
        </w:rPr>
        <w:t xml:space="preserve">周一至周五中餐10:00—11:00、晚餐16:00-17:00（法定节假日除外），餐食制作完成至各配送点在途时间不超过</w:t>
      </w:r>
      <w:r>
        <w:rPr>
          <w:rFonts w:hint="eastAsia" w:ascii="宋体" w:hAnsi="宋体" w:cs="宋体"/>
          <w:szCs w:val="21"/>
          <w:highlight w:val="none"/>
        </w:rPr>
        <w:t xml:space="preserve">1小时。</w:t>
      </w:r>
      <w:bookmarkEnd w:id="51"/>
      <w:r/>
      <w:bookmarkEnd w:id="52"/>
      <w:r>
        <w:rPr>
          <w:rFonts w:hint="eastAsia" w:ascii="宋体" w:hAnsi="宋体" w:cs="宋体"/>
          <w:bCs/>
          <w:szCs w:val="21"/>
          <w:highlight w:val="none"/>
        </w:rPr>
      </w:r>
      <w:r/>
    </w:p>
    <w:p>
      <w:pPr>
        <w:pStyle w:val="922"/>
        <w:ind w:left="-210" w:right="176" w:firstLine="420"/>
        <w:spacing w:line="360" w:lineRule="auto"/>
        <w:rPr>
          <w:rFonts w:hint="eastAsia" w:ascii="宋体" w:hAnsi="宋体" w:cs="宋体"/>
          <w:szCs w:val="21"/>
          <w:highlight w:val="none"/>
        </w:rPr>
      </w:pPr>
      <w:r>
        <w:rPr>
          <w:rFonts w:hint="eastAsia" w:ascii="宋体" w:hAnsi="宋体"/>
          <w:b/>
          <w:bCs/>
          <w:szCs w:val="21"/>
          <w:highlight w:val="none"/>
        </w:rPr>
        <w:t xml:space="preserve">4、配送标准：</w:t>
      </w:r>
      <w:bookmarkStart w:id="53" w:name="OLE_LINK10"/>
      <w:r/>
      <w:bookmarkStart w:id="54" w:name="OLE_LINK9"/>
      <w:r>
        <w:rPr>
          <w:rFonts w:hint="eastAsia" w:ascii="宋体" w:hAnsi="宋体" w:cs="宋体"/>
          <w:szCs w:val="21"/>
          <w:highlight w:val="none"/>
        </w:rPr>
        <w:t xml:space="preserve">一大荤一小荤一素一汤一饭</w:t>
      </w:r>
      <w:r>
        <w:rPr>
          <w:rFonts w:hint="eastAsia" w:ascii="宋体" w:hAnsi="宋体" w:cs="宋体"/>
          <w:szCs w:val="21"/>
          <w:highlight w:val="none"/>
        </w:rPr>
      </w:r>
      <w:r/>
    </w:p>
    <w:p>
      <w:pPr>
        <w:pStyle w:val="922"/>
        <w:ind w:left="-210" w:right="176" w:firstLine="420"/>
        <w:spacing w:line="360" w:lineRule="auto"/>
        <w:rPr>
          <w:rFonts w:hint="eastAsia" w:ascii="宋体" w:hAnsi="宋体" w:cs="宋体"/>
          <w:szCs w:val="21"/>
          <w:highlight w:val="none"/>
        </w:rPr>
      </w:pPr>
      <w:r>
        <w:rPr>
          <w:rFonts w:hint="eastAsia" w:ascii="宋体" w:hAnsi="宋体" w:cs="宋体"/>
          <w:szCs w:val="21"/>
          <w:highlight w:val="none"/>
        </w:rPr>
        <w:t xml:space="preserve">1）大荤不少于150克/份，包含但不限于猪肉、牛肉、鸡肉、鸭肉、虾、鱼；</w:t>
      </w:r>
      <w:r>
        <w:rPr>
          <w:rFonts w:hint="eastAsia" w:ascii="宋体" w:hAnsi="宋体" w:cs="宋体"/>
          <w:szCs w:val="21"/>
          <w:highlight w:val="none"/>
        </w:rPr>
      </w:r>
      <w:r/>
    </w:p>
    <w:p>
      <w:pPr>
        <w:pStyle w:val="922"/>
        <w:ind w:left="-210" w:right="176" w:firstLine="420"/>
        <w:spacing w:line="360" w:lineRule="auto"/>
        <w:rPr>
          <w:rFonts w:hint="eastAsia" w:ascii="宋体" w:hAnsi="宋体" w:cs="宋体"/>
          <w:szCs w:val="21"/>
          <w:highlight w:val="none"/>
        </w:rPr>
      </w:pPr>
      <w:r>
        <w:rPr>
          <w:rFonts w:hint="eastAsia" w:ascii="宋体" w:hAnsi="宋体" w:cs="宋体"/>
          <w:szCs w:val="21"/>
          <w:highlight w:val="none"/>
        </w:rPr>
        <w:t xml:space="preserve">2）小荤不少于100克/份，荤素菜搭配烧制，荤素比例7:3；</w:t>
      </w:r>
      <w:r>
        <w:rPr>
          <w:rFonts w:hint="eastAsia" w:ascii="宋体" w:hAnsi="宋体" w:cs="宋体"/>
          <w:szCs w:val="21"/>
          <w:highlight w:val="none"/>
        </w:rPr>
      </w:r>
      <w:r/>
    </w:p>
    <w:p>
      <w:pPr>
        <w:pStyle w:val="922"/>
        <w:ind w:left="-210" w:right="176" w:firstLine="420"/>
        <w:spacing w:line="360" w:lineRule="auto"/>
        <w:rPr>
          <w:rFonts w:hint="eastAsia" w:ascii="宋体" w:hAnsi="宋体" w:cs="宋体"/>
          <w:szCs w:val="21"/>
          <w:highlight w:val="none"/>
        </w:rPr>
      </w:pPr>
      <w:r>
        <w:rPr>
          <w:rFonts w:hint="eastAsia" w:ascii="宋体" w:hAnsi="宋体" w:cs="宋体"/>
          <w:szCs w:val="21"/>
          <w:highlight w:val="none"/>
        </w:rPr>
        <w:t xml:space="preserve">3）素菜不少于100克/份，新鲜时令蔬菜；</w:t>
      </w:r>
      <w:r>
        <w:rPr>
          <w:rFonts w:hint="eastAsia" w:ascii="宋体" w:hAnsi="宋体" w:cs="宋体"/>
          <w:szCs w:val="21"/>
          <w:highlight w:val="none"/>
        </w:rPr>
      </w:r>
      <w:r/>
    </w:p>
    <w:p>
      <w:pPr>
        <w:pStyle w:val="922"/>
        <w:ind w:left="-210" w:right="176" w:firstLine="420"/>
        <w:spacing w:line="360" w:lineRule="auto"/>
        <w:rPr>
          <w:rFonts w:ascii="宋体" w:hAnsi="宋体" w:cs="宋体"/>
          <w:szCs w:val="21"/>
          <w:highlight w:val="none"/>
        </w:rPr>
      </w:pPr>
      <w:r>
        <w:rPr>
          <w:rFonts w:hint="eastAsia" w:ascii="宋体" w:hAnsi="宋体" w:cs="宋体"/>
          <w:szCs w:val="21"/>
          <w:highlight w:val="none"/>
        </w:rPr>
        <w:t xml:space="preserve">4）米饭不少于250克/份；</w:t>
      </w:r>
      <w:r>
        <w:rPr>
          <w:rFonts w:ascii="宋体" w:hAnsi="宋体" w:cs="宋体"/>
          <w:szCs w:val="21"/>
          <w:highlight w:val="none"/>
        </w:rPr>
      </w:r>
      <w:r/>
    </w:p>
    <w:p>
      <w:pPr>
        <w:pStyle w:val="922"/>
        <w:ind w:left="-210" w:right="176" w:firstLine="420"/>
        <w:spacing w:line="360" w:lineRule="auto"/>
        <w:rPr>
          <w:rFonts w:hint="eastAsia" w:ascii="宋体" w:hAnsi="宋体"/>
          <w:szCs w:val="21"/>
          <w:highlight w:val="none"/>
        </w:rPr>
      </w:pPr>
      <w:r/>
      <w:bookmarkEnd w:id="53"/>
      <w:r/>
      <w:bookmarkEnd w:id="54"/>
      <w:r>
        <w:rPr>
          <w:rFonts w:hint="eastAsia" w:ascii="宋体" w:hAnsi="宋体" w:cs="宋体"/>
          <w:bCs/>
          <w:color w:val="000000"/>
          <w:szCs w:val="21"/>
          <w:highlight w:val="none"/>
        </w:rPr>
        <w:t xml:space="preserve">提供的菜品除保证营养均衡外需多样化，有季节特色，同时</w:t>
      </w:r>
      <w:r>
        <w:rPr>
          <w:rFonts w:hint="eastAsia" w:ascii="宋体" w:hAnsi="宋体" w:cs="宋体"/>
          <w:bCs/>
          <w:color w:val="000000"/>
          <w:szCs w:val="21"/>
          <w:highlight w:val="none"/>
          <w:lang w:val="zh-CN"/>
        </w:rPr>
        <w:t xml:space="preserve">配送公司需提前制定下周菜谱报送采购人审核并根据采购人要求调整。</w:t>
      </w:r>
      <w:r>
        <w:rPr>
          <w:rFonts w:hint="eastAsia" w:ascii="宋体" w:hAnsi="宋体"/>
          <w:szCs w:val="21"/>
          <w:highlight w:val="none"/>
        </w:rPr>
      </w:r>
      <w:r/>
    </w:p>
    <w:p>
      <w:pPr>
        <w:pStyle w:val="922"/>
        <w:ind w:left="-210" w:right="176" w:firstLine="420"/>
        <w:spacing w:line="360" w:lineRule="auto"/>
        <w:rPr>
          <w:rFonts w:hint="eastAsia" w:ascii="宋体" w:hAnsi="宋体"/>
          <w:b/>
          <w:bCs/>
          <w:szCs w:val="21"/>
          <w:highlight w:val="none"/>
        </w:rPr>
      </w:pPr>
      <w:r>
        <w:rPr>
          <w:rFonts w:hint="eastAsia" w:ascii="宋体" w:hAnsi="宋体" w:cs="宋体"/>
          <w:b/>
          <w:szCs w:val="21"/>
          <w:highlight w:val="none"/>
        </w:rPr>
        <w:t xml:space="preserve">5</w:t>
      </w:r>
      <w:r>
        <w:rPr>
          <w:rFonts w:hint="eastAsia" w:ascii="宋体" w:hAnsi="宋体"/>
          <w:b/>
          <w:bCs/>
          <w:szCs w:val="21"/>
          <w:highlight w:val="none"/>
        </w:rPr>
        <w:t xml:space="preserve">、配送区域：</w:t>
      </w:r>
      <w:r>
        <w:rPr>
          <w:rFonts w:hint="eastAsia" w:ascii="宋体" w:hAnsi="宋体"/>
          <w:b/>
          <w:bCs/>
          <w:szCs w:val="21"/>
          <w:highlight w:val="none"/>
        </w:rPr>
      </w:r>
      <w:r/>
    </w:p>
    <w:p>
      <w:pPr>
        <w:pStyle w:val="922"/>
        <w:ind w:left="-210" w:right="176"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社会事业局管辖区域包括但不限于：共青村日间照料中心、泾河日间照料中心、大渔日间照料中心、杜桥助餐点、银铃公益坊、大公日照中心、庙灯村日间照料中心、赵厍村日间照料中心。</w:t>
      </w:r>
      <w:r>
        <w:rPr>
          <w:rFonts w:hint="eastAsia" w:ascii="宋体" w:hAnsi="宋体" w:cs="宋体"/>
          <w:bCs/>
          <w:szCs w:val="21"/>
          <w:highlight w:val="none"/>
        </w:rPr>
      </w:r>
      <w:r/>
    </w:p>
    <w:p>
      <w:pPr>
        <w:pStyle w:val="922"/>
        <w:ind w:left="-210" w:right="176" w:firstLine="420"/>
        <w:spacing w:line="360" w:lineRule="auto"/>
        <w:rPr>
          <w:rFonts w:ascii="宋体" w:hAnsi="宋体" w:cs="宋体"/>
          <w:szCs w:val="21"/>
          <w:highlight w:val="none"/>
        </w:rPr>
      </w:pPr>
      <w:r>
        <w:rPr>
          <w:rFonts w:hint="eastAsia" w:ascii="宋体" w:hAnsi="宋体" w:cs="宋体"/>
          <w:szCs w:val="21"/>
          <w:highlight w:val="none"/>
        </w:rPr>
        <w:t xml:space="preserve">目前共计管辖日照中心8个，2026年计划新增3-4个日照中心，中标人需综合考虑新增配送点的任务量，结算时按照实际配送量按实结算。</w:t>
      </w:r>
      <w:r>
        <w:rPr>
          <w:rFonts w:ascii="宋体" w:hAnsi="宋体" w:cs="宋体"/>
          <w:szCs w:val="21"/>
          <w:highlight w:val="none"/>
        </w:rPr>
      </w:r>
      <w:r/>
    </w:p>
    <w:p>
      <w:pPr>
        <w:pStyle w:val="922"/>
        <w:ind w:left="-210" w:right="176" w:firstLine="420"/>
        <w:spacing w:line="360" w:lineRule="auto"/>
        <w:rPr>
          <w:rFonts w:ascii="宋体" w:hAnsi="宋体" w:cs="宋体"/>
          <w:b/>
          <w:szCs w:val="21"/>
          <w:highlight w:val="none"/>
        </w:rPr>
      </w:pPr>
      <w:r>
        <w:rPr>
          <w:rFonts w:hint="eastAsia" w:ascii="宋体" w:hAnsi="宋体" w:cs="宋体"/>
          <w:b/>
          <w:szCs w:val="21"/>
          <w:highlight w:val="none"/>
        </w:rPr>
        <w:t xml:space="preserve">6、配送数量：目前午餐+晚餐配送量约340-350份/日，</w:t>
      </w:r>
      <w:r>
        <w:rPr>
          <w:rFonts w:hint="eastAsia" w:ascii="宋体" w:hAnsi="宋体" w:cs="宋体"/>
          <w:bCs/>
          <w:szCs w:val="21"/>
          <w:highlight w:val="none"/>
        </w:rPr>
        <w:t xml:space="preserve">2026年具体数量按实际需求为准，结算时按实结算。</w:t>
      </w:r>
      <w:r>
        <w:rPr>
          <w:rFonts w:ascii="宋体" w:hAnsi="宋体" w:cs="宋体"/>
          <w:b/>
          <w:szCs w:val="21"/>
          <w:highlight w:val="none"/>
        </w:rPr>
      </w:r>
      <w:r/>
    </w:p>
    <w:p>
      <w:pPr>
        <w:pStyle w:val="922"/>
        <w:ind w:left="-210" w:right="176"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rPr>
          <w:rFonts w:hint="eastAsia" w:ascii="宋体" w:hAnsi="Courier New" w:cs="宋体"/>
          <w:szCs w:val="21"/>
          <w:highlight w:val="none"/>
        </w:rPr>
        <w:t xml:space="preserve">每餐留样一份在各配送点位，此数量不包含在最终结算数量中。</w:t>
      </w:r>
      <w:r>
        <w:rPr>
          <w:rFonts w:hint="eastAsia" w:ascii="宋体" w:hAnsi="宋体" w:cs="宋体"/>
          <w:bCs/>
          <w:szCs w:val="21"/>
          <w:highlight w:val="none"/>
        </w:rPr>
      </w:r>
      <w:r/>
    </w:p>
    <w:p>
      <w:pPr>
        <w:pStyle w:val="922"/>
        <w:ind w:firstLine="21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7、配送要求：</w:t>
      </w:r>
      <w:r>
        <w:rPr>
          <w:rFonts w:hint="eastAsia" w:ascii="宋体" w:hAnsi="宋体" w:cs="宋体"/>
          <w:b/>
          <w:color w:val="000000"/>
          <w:szCs w:val="21"/>
          <w:highlight w:val="none"/>
        </w:rPr>
      </w:r>
      <w:r/>
    </w:p>
    <w:p>
      <w:pPr>
        <w:pStyle w:val="922"/>
        <w:ind w:firstLine="420"/>
        <w:jc w:val="left"/>
        <w:spacing w:line="400" w:lineRule="exact"/>
        <w:rPr>
          <w:rFonts w:hint="eastAsia" w:ascii="Times New Roman" w:hAnsi="Times New Roman"/>
          <w:color w:val="000000"/>
          <w:szCs w:val="21"/>
          <w:highlight w:val="none"/>
        </w:rPr>
      </w:pPr>
      <w:r>
        <w:rPr>
          <w:rFonts w:hint="eastAsia" w:ascii="宋体" w:hAnsi="宋体"/>
          <w:bCs/>
          <w:szCs w:val="21"/>
          <w:highlight w:val="none"/>
        </w:rPr>
        <w:t xml:space="preserve">7.1、</w:t>
      </w:r>
      <w:r>
        <w:rPr>
          <w:rFonts w:hint="eastAsia" w:ascii="宋体" w:hAnsi="宋体" w:cs="宋体"/>
          <w:color w:val="000000"/>
          <w:szCs w:val="21"/>
          <w:highlight w:val="none"/>
        </w:rPr>
        <w:t xml:space="preserve">人员配置由配送公司根据采购人的服务内容自行设定各岗位人员配置。所有服务人员年龄男性60周岁以下，女性55周岁以下，身体健康，遵纪守法，</w:t>
      </w:r>
      <w:r>
        <w:rPr>
          <w:rFonts w:hint="eastAsia" w:ascii="Times New Roman" w:hAnsi="Times New Roman"/>
          <w:bCs/>
          <w:color w:val="000000"/>
          <w:szCs w:val="21"/>
          <w:highlight w:val="none"/>
        </w:rPr>
        <w:t xml:space="preserve">须具有有效期内的健康证，无犯罪记</w:t>
      </w:r>
      <w:r>
        <w:rPr>
          <w:rFonts w:hint="eastAsia" w:ascii="Times New Roman" w:hAnsi="Times New Roman"/>
          <w:color w:val="000000"/>
          <w:szCs w:val="21"/>
          <w:highlight w:val="none"/>
        </w:rPr>
        <w:t xml:space="preserve">录，熟悉相关食品卫生知识。</w:t>
      </w:r>
      <w:r>
        <w:rPr>
          <w:rFonts w:hint="eastAsia" w:ascii="Times New Roman" w:hAnsi="Times New Roman"/>
          <w:color w:val="000000"/>
          <w:szCs w:val="21"/>
          <w:highlight w:val="none"/>
        </w:rPr>
      </w:r>
      <w:r/>
    </w:p>
    <w:p>
      <w:pPr>
        <w:pStyle w:val="922"/>
        <w:ind w:firstLine="420"/>
        <w:jc w:val="left"/>
        <w:spacing w:line="400" w:lineRule="exact"/>
        <w:rPr>
          <w:rFonts w:hint="eastAsia" w:ascii="宋体" w:hAnsi="宋体"/>
          <w:szCs w:val="21"/>
          <w:highlight w:val="none"/>
          <w:lang w:val="zh-CN"/>
        </w:rPr>
      </w:pPr>
      <w:r>
        <w:rPr>
          <w:rFonts w:hint="eastAsia" w:ascii="宋体" w:hAnsi="宋体"/>
          <w:szCs w:val="21"/>
          <w:highlight w:val="none"/>
        </w:rPr>
        <w:t xml:space="preserve">7.2、</w:t>
      </w:r>
      <w:r>
        <w:rPr>
          <w:rFonts w:hint="eastAsia" w:ascii="宋体" w:hAnsi="宋体"/>
          <w:szCs w:val="21"/>
          <w:highlight w:val="none"/>
          <w:lang w:val="zh-CN"/>
        </w:rPr>
        <w:t xml:space="preserve">食材要求：必须符合《中华人民共和国食品安全法》等国家相关法律法规要求及监管部门相关规定，符合相应的食品安全标准及采购人相关要求。</w:t>
      </w:r>
      <w:r>
        <w:rPr>
          <w:rFonts w:hint="eastAsia" w:ascii="宋体" w:hAnsi="宋体"/>
          <w:szCs w:val="21"/>
          <w:highlight w:val="none"/>
          <w:lang w:val="zh-CN"/>
        </w:rPr>
      </w:r>
      <w:r/>
    </w:p>
    <w:p>
      <w:pPr>
        <w:pStyle w:val="922"/>
        <w:ind w:firstLine="420"/>
        <w:spacing w:line="360" w:lineRule="auto"/>
        <w:rPr>
          <w:rFonts w:ascii="宋体" w:hAnsi="宋体" w:cs="宋体"/>
          <w:szCs w:val="21"/>
          <w:highlight w:val="none"/>
        </w:rPr>
      </w:pPr>
      <w:r>
        <w:rPr>
          <w:rFonts w:hint="eastAsia" w:ascii="宋体" w:hAnsi="宋体" w:cs="宋体"/>
          <w:szCs w:val="21"/>
          <w:highlight w:val="none"/>
        </w:rPr>
        <w:t xml:space="preserve">主要食材质量要求如下：</w:t>
      </w:r>
      <w:r>
        <w:rPr>
          <w:rFonts w:ascii="宋体" w:hAnsi="宋体" w:cs="宋体"/>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194"/>
        <w:gridCol w:w="7343"/>
      </w:tblGrid>
      <w:tr>
        <w:trPr>
          <w:trHeight w:val="462"/>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食材类型</w:t>
            </w:r>
            <w:r>
              <w:rPr>
                <w:rFonts w:ascii="宋体" w:hAnsi="宋体" w:cs="宋体"/>
                <w:szCs w:val="21"/>
                <w:highlight w:val="none"/>
              </w:rPr>
            </w:r>
            <w:r/>
          </w:p>
        </w:tc>
        <w:tc>
          <w:tcPr>
            <w:tcW w:w="395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要求</w:t>
            </w:r>
            <w:r>
              <w:rPr>
                <w:rFonts w:ascii="宋体" w:hAnsi="宋体" w:cs="宋体"/>
                <w:szCs w:val="21"/>
                <w:highlight w:val="none"/>
              </w:rPr>
            </w:r>
            <w:r/>
          </w:p>
        </w:tc>
      </w:tr>
      <w:tr>
        <w:trPr>
          <w:trHeight w:val="699"/>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蔬菜类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Ansi="宋体"/>
                <w:szCs w:val="21"/>
                <w:highlight w:val="none"/>
              </w:rPr>
              <w:t xml:space="preserve">蔬菜必须保证新鲜、无黄叶、枯死叶、无虫、无杂质、不腐烂变质</w:t>
            </w:r>
            <w:r>
              <w:rPr>
                <w:rFonts w:hint="eastAsia" w:hAnsi="宋体"/>
                <w:szCs w:val="21"/>
                <w:highlight w:val="none"/>
              </w:rPr>
              <w:t xml:space="preserve">、</w:t>
            </w:r>
            <w:r>
              <w:rPr>
                <w:rFonts w:hAnsi="宋体"/>
                <w:szCs w:val="21"/>
                <w:highlight w:val="none"/>
              </w:rPr>
              <w:t xml:space="preserve">叶面干净无明显泥土</w:t>
            </w:r>
            <w:r>
              <w:rPr>
                <w:rFonts w:hint="eastAsia" w:ascii="宋体" w:hAnsi="宋体" w:cs="宋体"/>
                <w:szCs w:val="21"/>
                <w:highlight w:val="none"/>
              </w:rPr>
              <w:t xml:space="preserve">，符合食品卫生要求。</w:t>
            </w:r>
            <w:r>
              <w:rPr>
                <w:rFonts w:ascii="宋体" w:hAnsi="宋体" w:cs="宋体"/>
                <w:szCs w:val="21"/>
                <w:highlight w:val="none"/>
              </w:rPr>
            </w:r>
            <w:r/>
          </w:p>
        </w:tc>
      </w:tr>
      <w:tr>
        <w:trPr>
          <w:trHeight w:val="860"/>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鲜肉类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szCs w:val="21"/>
                <w:highlight w:val="none"/>
              </w:rPr>
              <w:t xml:space="preserve">来源于国家认可的正规肉厂，为当日新鲜商品，</w:t>
            </w:r>
            <w:r>
              <w:rPr>
                <w:rFonts w:hint="eastAsia" w:ascii="宋体" w:hAnsi="宋体" w:cs="宋体"/>
                <w:szCs w:val="21"/>
                <w:highlight w:val="none"/>
              </w:rPr>
              <w:t xml:space="preserve">必须经检验检疫合格的、有动物检疫及屠宰证明，肉质新鲜，不注水，无病毒，符合食品卫生要求。</w:t>
            </w:r>
            <w:r>
              <w:rPr>
                <w:rFonts w:ascii="宋体" w:hAnsi="宋体" w:cs="宋体"/>
                <w:szCs w:val="21"/>
                <w:highlight w:val="none"/>
              </w:rPr>
            </w:r>
            <w:r/>
          </w:p>
        </w:tc>
      </w:tr>
      <w:tr>
        <w:trPr>
          <w:trHeight w:val="709"/>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水产类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肉质新鲜，无病毒，不含有害物质，鲜鱼类必须生猛鲜活。</w:t>
            </w:r>
            <w:r>
              <w:rPr>
                <w:rFonts w:ascii="宋体" w:hAnsi="宋体" w:cs="宋体"/>
                <w:szCs w:val="21"/>
                <w:highlight w:val="none"/>
              </w:rPr>
            </w:r>
            <w:r/>
          </w:p>
        </w:tc>
      </w:tr>
      <w:tr>
        <w:trPr>
          <w:trHeight w:val="724"/>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家禽类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新鲜肥美，无内脏，不注水，无病毒，符合食品卫生要求。</w:t>
            </w:r>
            <w:r>
              <w:rPr>
                <w:rFonts w:ascii="宋体" w:hAnsi="宋体" w:cs="宋体"/>
                <w:szCs w:val="21"/>
                <w:highlight w:val="none"/>
              </w:rPr>
            </w:r>
            <w:r/>
          </w:p>
        </w:tc>
      </w:tr>
      <w:tr>
        <w:trPr>
          <w:trHeight w:val="462"/>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蛋类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无公害禽蛋，新鲜，无变质。</w:t>
            </w:r>
            <w:r>
              <w:rPr>
                <w:rFonts w:ascii="宋体" w:hAnsi="宋体" w:cs="宋体"/>
                <w:szCs w:val="21"/>
                <w:highlight w:val="none"/>
              </w:rPr>
            </w:r>
            <w:r/>
          </w:p>
        </w:tc>
      </w:tr>
      <w:tr>
        <w:trPr>
          <w:trHeight w:val="1042"/>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冻品类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包装符合食品安全要求（食品名称、规格、净含量、生产日期、保质期、贮存条件和食品生产许可证编号等），品质优良、包装完好、无异味、无病毒，在保质期内并能提供相对应检验检疫报告等资料。</w:t>
            </w:r>
            <w:r>
              <w:rPr>
                <w:rFonts w:ascii="宋体" w:hAnsi="宋体" w:cs="宋体"/>
                <w:szCs w:val="21"/>
                <w:highlight w:val="none"/>
              </w:rPr>
            </w:r>
            <w:r/>
          </w:p>
        </w:tc>
      </w:tr>
      <w:tr>
        <w:trPr>
          <w:trHeight w:val="694"/>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调料类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正规知名厂家或其代理商，有商标牌号，注明生产日期、产地、保质期、包装规格、有QS标志。</w:t>
            </w:r>
            <w:r>
              <w:rPr>
                <w:rFonts w:ascii="宋体" w:hAnsi="宋体" w:cs="宋体"/>
                <w:szCs w:val="21"/>
                <w:highlight w:val="none"/>
              </w:rPr>
            </w:r>
            <w:r/>
          </w:p>
        </w:tc>
      </w:tr>
      <w:tr>
        <w:trPr>
          <w:trHeight w:val="829"/>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豆制品类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以非转基因大豆或杂豆为主要原料，经过加工制成的食品，包括发酵豆制品、非发酵豆制品和大豆蛋白类制品，均须达到食品安全国家标准。</w:t>
            </w:r>
            <w:r>
              <w:rPr>
                <w:rFonts w:ascii="宋体" w:hAnsi="宋体" w:cs="宋体"/>
                <w:szCs w:val="21"/>
                <w:highlight w:val="none"/>
              </w:rPr>
            </w:r>
            <w:r/>
          </w:p>
        </w:tc>
      </w:tr>
      <w:tr>
        <w:trPr>
          <w:trHeight w:val="849"/>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水果类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须为非转基因产品，外型端正、个头均匀、无斑点、无破损、无压伤磕伤、果实成熟新鲜、味道纯正，符合食品安全国家标准。</w:t>
            </w:r>
            <w:r>
              <w:rPr>
                <w:rFonts w:ascii="宋体" w:hAnsi="宋体" w:cs="宋体"/>
                <w:szCs w:val="21"/>
                <w:highlight w:val="none"/>
              </w:rPr>
            </w:r>
            <w:r/>
          </w:p>
        </w:tc>
      </w:tr>
      <w:tr>
        <w:trPr>
          <w:trHeight w:val="664"/>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乳制品</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产品包装及外观干净、整洁，生产日期、保质期、贮藏条件标识清晰，须在保质期内(不得提供临期产品)。</w:t>
            </w:r>
            <w:r>
              <w:rPr>
                <w:rFonts w:ascii="宋体" w:hAnsi="宋体" w:cs="宋体"/>
                <w:szCs w:val="21"/>
                <w:highlight w:val="none"/>
              </w:rPr>
            </w:r>
            <w:r/>
          </w:p>
        </w:tc>
      </w:tr>
      <w:tr>
        <w:trPr>
          <w:trHeight w:val="709"/>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米面类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不接受散装产品，产品包装外观整洁，无破损，商品标签信息清晰，生产日期、保质期、贮藏条件清晰 ，须在保质期内，大米，面粉类等产品感官正常。</w:t>
            </w:r>
            <w:r>
              <w:rPr>
                <w:rFonts w:ascii="宋体" w:hAnsi="宋体" w:cs="宋体"/>
                <w:szCs w:val="21"/>
                <w:highlight w:val="none"/>
              </w:rPr>
            </w:r>
            <w:r/>
          </w:p>
        </w:tc>
      </w:tr>
      <w:tr>
        <w:trPr>
          <w:trHeight w:val="669"/>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食用油</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非转基因成品油，不接受散装产品，外包装规范干净，整洁，无破损，无漏油情况，须在保质期内。</w:t>
            </w:r>
            <w:r>
              <w:rPr>
                <w:rFonts w:ascii="宋体" w:hAnsi="宋体" w:cs="宋体"/>
                <w:szCs w:val="21"/>
                <w:highlight w:val="none"/>
              </w:rPr>
            </w:r>
            <w:r/>
          </w:p>
        </w:tc>
      </w:tr>
      <w:tr>
        <w:trPr>
          <w:trHeight w:val="744"/>
        </w:trPr>
        <w:tc>
          <w:tcPr>
            <w:tcW w:w="404"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13</w:t>
            </w:r>
            <w:r>
              <w:rPr>
                <w:rFonts w:ascii="宋体" w:hAnsi="宋体" w:cs="宋体"/>
                <w:szCs w:val="21"/>
                <w:highlight w:val="none"/>
              </w:rPr>
            </w:r>
            <w:r/>
          </w:p>
        </w:tc>
        <w:tc>
          <w:tcPr>
            <w:tcW w:w="643" w:type="dxa"/>
            <w:vAlign w:val="center"/>
            <w:textDirection w:val="lrTb"/>
            <w:noWrap w:val="false"/>
          </w:tcPr>
          <w:p>
            <w:pPr>
              <w:pStyle w:val="922"/>
              <w:jc w:val="center"/>
              <w:rPr>
                <w:rFonts w:ascii="宋体" w:hAnsi="宋体" w:cs="宋体"/>
                <w:szCs w:val="21"/>
                <w:highlight w:val="none"/>
              </w:rPr>
            </w:pPr>
            <w:r>
              <w:rPr>
                <w:rFonts w:hint="eastAsia" w:ascii="宋体" w:hAnsi="宋体" w:cs="宋体"/>
                <w:szCs w:val="21"/>
                <w:highlight w:val="none"/>
              </w:rPr>
              <w:t xml:space="preserve">干货类</w:t>
            </w:r>
            <w:r>
              <w:rPr>
                <w:rFonts w:ascii="宋体" w:hAnsi="宋体" w:cs="宋体"/>
                <w:szCs w:val="21"/>
                <w:highlight w:val="none"/>
              </w:rPr>
            </w:r>
            <w:r/>
          </w:p>
        </w:tc>
        <w:tc>
          <w:tcPr>
            <w:tcW w:w="3953" w:type="dxa"/>
            <w:vAlign w:val="center"/>
            <w:textDirection w:val="lrTb"/>
            <w:noWrap w:val="false"/>
          </w:tcPr>
          <w:p>
            <w:pPr>
              <w:pStyle w:val="922"/>
              <w:rPr>
                <w:rFonts w:ascii="宋体" w:hAnsi="宋体" w:cs="宋体"/>
                <w:szCs w:val="21"/>
                <w:highlight w:val="none"/>
              </w:rPr>
            </w:pPr>
            <w:r>
              <w:rPr>
                <w:rFonts w:hint="eastAsia" w:ascii="宋体" w:hAnsi="宋体" w:cs="宋体"/>
                <w:szCs w:val="21"/>
                <w:highlight w:val="none"/>
              </w:rPr>
              <w:t xml:space="preserve">在保质期范围内，并保持较好的外观和等级，</w:t>
            </w:r>
            <w:r>
              <w:rPr>
                <w:rFonts w:hint="eastAsia" w:ascii="宋体" w:hAnsi="宋体"/>
                <w:szCs w:val="21"/>
                <w:highlight w:val="none"/>
              </w:rPr>
              <w:t xml:space="preserve">须是正规厂家并具有合格证书且无任何有害添加剂的优质产品，符合</w:t>
            </w:r>
            <w:r>
              <w:rPr>
                <w:rFonts w:hint="eastAsia" w:ascii="宋体" w:hAnsi="宋体" w:cs="宋体"/>
                <w:szCs w:val="21"/>
                <w:highlight w:val="none"/>
              </w:rPr>
              <w:t xml:space="preserve">食品安全</w:t>
            </w:r>
            <w:r>
              <w:rPr>
                <w:rFonts w:hint="eastAsia" w:ascii="宋体" w:hAnsi="宋体"/>
                <w:szCs w:val="21"/>
                <w:highlight w:val="none"/>
              </w:rPr>
              <w:t xml:space="preserve">国家标准。</w:t>
            </w:r>
            <w:r>
              <w:rPr>
                <w:rFonts w:ascii="宋体" w:hAnsi="宋体" w:cs="宋体"/>
                <w:szCs w:val="21"/>
                <w:highlight w:val="none"/>
              </w:rPr>
            </w:r>
            <w:r/>
          </w:p>
        </w:tc>
      </w:tr>
    </w:tbl>
    <w:p>
      <w:pPr>
        <w:pStyle w:val="922"/>
        <w:ind w:firstLine="420"/>
        <w:jc w:val="left"/>
        <w:spacing w:line="400" w:lineRule="exact"/>
        <w:rPr>
          <w:rFonts w:hint="eastAsia" w:ascii="宋体" w:hAnsi="宋体"/>
          <w:szCs w:val="21"/>
          <w:highlight w:val="none"/>
          <w:lang w:val="zh-CN"/>
        </w:rPr>
      </w:pPr>
      <w:r>
        <w:rPr>
          <w:rFonts w:hint="eastAsia" w:ascii="宋体" w:hAnsi="宋体"/>
          <w:szCs w:val="21"/>
          <w:highlight w:val="none"/>
          <w:lang w:val="zh-CN"/>
        </w:rPr>
      </w:r>
      <w:r/>
    </w:p>
    <w:p>
      <w:pPr>
        <w:pStyle w:val="922"/>
        <w:ind w:firstLine="420"/>
        <w:spacing w:line="360" w:lineRule="auto"/>
        <w:rPr>
          <w:rFonts w:hint="eastAsia" w:ascii="宋体" w:hAnsi="宋体" w:cs="宋体"/>
          <w:b/>
          <w:color w:val="000000"/>
          <w:szCs w:val="21"/>
          <w:highlight w:val="none"/>
        </w:rPr>
      </w:pPr>
      <w:r>
        <w:rPr>
          <w:rFonts w:hint="eastAsia" w:ascii="宋体" w:hAnsi="宋体"/>
          <w:szCs w:val="21"/>
          <w:highlight w:val="none"/>
        </w:rPr>
        <w:t xml:space="preserve">7.3、</w:t>
      </w:r>
      <w:r>
        <w:rPr>
          <w:rFonts w:hint="eastAsia" w:ascii="宋体" w:hAnsi="宋体" w:cs="宋体"/>
          <w:color w:val="000000"/>
          <w:szCs w:val="21"/>
          <w:highlight w:val="none"/>
        </w:rPr>
        <w:t xml:space="preserve">食品包装餐盒的要求：所使用包装餐盒必须符合《中华人民共和国食品安全法》、《预包装食品通则》等国家相关法律法规要求及监管部门相关规定，符合相应的食品安全标准及采购人相关要求。</w:t>
      </w:r>
      <w:r>
        <w:rPr>
          <w:rFonts w:hint="eastAsia" w:ascii="宋体" w:hAnsi="宋体" w:cs="宋体"/>
          <w:b/>
          <w:color w:val="000000"/>
          <w:szCs w:val="21"/>
          <w:highlight w:val="none"/>
        </w:rPr>
      </w:r>
      <w:r/>
    </w:p>
    <w:p>
      <w:pPr>
        <w:pStyle w:val="922"/>
        <w:ind w:firstLine="420"/>
        <w:jc w:val="left"/>
        <w:spacing w:line="400" w:lineRule="exact"/>
        <w:rPr>
          <w:rFonts w:ascii="宋体" w:hAnsi="宋体"/>
          <w:szCs w:val="21"/>
          <w:highlight w:val="none"/>
          <w:lang w:val="zh-CN"/>
        </w:rPr>
      </w:pPr>
      <w:r>
        <w:rPr>
          <w:rFonts w:hint="eastAsia" w:ascii="宋体" w:hAnsi="宋体"/>
          <w:szCs w:val="21"/>
          <w:highlight w:val="none"/>
        </w:rPr>
        <w:t xml:space="preserve">7.4、</w:t>
      </w:r>
      <w:r>
        <w:rPr>
          <w:rFonts w:hint="eastAsia" w:ascii="宋体" w:hAnsi="宋体"/>
          <w:szCs w:val="21"/>
          <w:highlight w:val="none"/>
          <w:lang w:val="zh-CN"/>
        </w:rPr>
        <w:t xml:space="preserve">配送公司必须使用具有</w:t>
      </w:r>
      <w:r>
        <w:rPr>
          <w:rFonts w:hint="eastAsia" w:ascii="宋体" w:hAnsi="宋体" w:cs="宋体"/>
          <w:bCs/>
          <w:szCs w:val="21"/>
          <w:highlight w:val="none"/>
        </w:rPr>
        <w:t xml:space="preserve">冷藏功能的厢式货车</w:t>
      </w:r>
      <w:r>
        <w:rPr>
          <w:rFonts w:hint="eastAsia" w:ascii="宋体" w:hAnsi="宋体"/>
          <w:szCs w:val="21"/>
          <w:highlight w:val="none"/>
          <w:lang w:val="zh-CN"/>
        </w:rPr>
        <w:t xml:space="preserve">进行配送。</w:t>
      </w:r>
      <w:r>
        <w:rPr>
          <w:rFonts w:ascii="宋体" w:hAnsi="宋体"/>
          <w:szCs w:val="21"/>
          <w:highlight w:val="none"/>
          <w:lang w:val="zh-CN"/>
        </w:rPr>
      </w:r>
      <w:r/>
    </w:p>
    <w:p>
      <w:pPr>
        <w:pStyle w:val="922"/>
        <w:ind w:firstLine="420"/>
        <w:jc w:val="left"/>
        <w:spacing w:line="400" w:lineRule="exact"/>
        <w:rPr>
          <w:rFonts w:hint="eastAsia"/>
          <w:highlight w:val="none"/>
        </w:rPr>
      </w:pPr>
      <w:r>
        <w:rPr>
          <w:rFonts w:hint="eastAsia" w:ascii="宋体" w:hAnsi="宋体"/>
          <w:szCs w:val="21"/>
          <w:highlight w:val="none"/>
        </w:rPr>
        <w:t xml:space="preserve">7.5、</w:t>
      </w:r>
      <w:r>
        <w:rPr>
          <w:rFonts w:hint="eastAsia" w:ascii="宋体" w:hAnsi="宋体"/>
          <w:szCs w:val="21"/>
          <w:highlight w:val="none"/>
          <w:lang w:val="zh-CN"/>
        </w:rPr>
        <w:t xml:space="preserve">配送公司必须做好送餐点的食品留样及记录。</w:t>
      </w:r>
      <w:r>
        <w:rPr>
          <w:rFonts w:hint="eastAsia"/>
          <w:highlight w:val="non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7.6、其它常规供货约定（详见《采购合同条款》）</w:t>
      </w:r>
      <w:r>
        <w:rPr>
          <w:rFonts w:hint="eastAsia" w:ascii="宋体" w:hAnsi="宋体" w:cs="宋体"/>
          <w:color w:val="000000"/>
          <w:szCs w:val="21"/>
          <w:highlight w:val="none"/>
        </w:rPr>
      </w:r>
      <w:r/>
    </w:p>
    <w:p>
      <w:pPr>
        <w:pStyle w:val="9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五、评估管理办法：</w:t>
      </w:r>
      <w:r>
        <w:rPr>
          <w:rFonts w:hint="eastAsia" w:ascii="宋体" w:hAnsi="宋体" w:cs="宋体"/>
          <w:b/>
          <w:color w:val="000000"/>
          <w:szCs w:val="21"/>
          <w:highlight w:val="non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1、本项目服务期限为</w:t>
      </w:r>
      <w:r>
        <w:rPr>
          <w:rFonts w:hint="eastAsia" w:ascii="宋体" w:hAnsi="宋体" w:cs="宋体"/>
          <w:szCs w:val="21"/>
          <w:highlight w:val="none"/>
        </w:rPr>
        <w:t xml:space="preserve">1年，</w:t>
      </w:r>
      <w:bookmarkStart w:id="55" w:name="OLE_LINK15"/>
      <w:r/>
      <w:bookmarkStart w:id="56" w:name="OLE_LINK14"/>
      <w:r>
        <w:rPr>
          <w:rFonts w:hint="eastAsia" w:ascii="宋体" w:hAnsi="宋体" w:cs="宋体"/>
          <w:color w:val="000000"/>
          <w:szCs w:val="21"/>
          <w:highlight w:val="none"/>
        </w:rPr>
        <w:t xml:space="preserve">实行月度评估制度，每月由采购人对配送公司进行评估。</w:t>
      </w:r>
      <w:r>
        <w:rPr>
          <w:rFonts w:hint="eastAsia" w:ascii="宋体" w:hAnsi="宋体" w:cs="宋体"/>
          <w:color w:val="000000"/>
          <w:szCs w:val="21"/>
          <w:highlight w:val="none"/>
        </w:rPr>
      </w:r>
      <w:r/>
    </w:p>
    <w:p>
      <w:pPr>
        <w:pStyle w:val="922"/>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季度综合评估得分各项权重如下：月评估表70%，老年人就餐满意度抽查表30%。（具体表格见合同附件）</w:t>
      </w:r>
      <w:r>
        <w:rPr>
          <w:rFonts w:hint="eastAsia" w:ascii="宋体" w:hAnsi="宋体" w:cs="宋体"/>
          <w:b/>
          <w:szCs w:val="21"/>
          <w:highlight w:val="none"/>
        </w:rPr>
      </w:r>
      <w:r/>
    </w:p>
    <w:p>
      <w:pPr>
        <w:pStyle w:val="922"/>
        <w:ind w:firstLine="420"/>
        <w:spacing w:line="360" w:lineRule="auto"/>
        <w:rPr>
          <w:rFonts w:hint="eastAsia" w:ascii="宋体" w:hAnsi="宋体" w:cs="宋体"/>
          <w:color w:val="000000"/>
          <w:szCs w:val="21"/>
          <w:highlight w:val="none"/>
        </w:rPr>
      </w:pPr>
      <w:r/>
      <w:bookmarkEnd w:id="55"/>
      <w:r/>
      <w:bookmarkEnd w:id="56"/>
      <w:r>
        <w:rPr>
          <w:rFonts w:hint="eastAsia" w:ascii="宋体" w:hAnsi="宋体" w:cs="宋体"/>
          <w:color w:val="000000"/>
          <w:szCs w:val="21"/>
          <w:highlight w:val="none"/>
        </w:rPr>
        <w:t xml:space="preserve">2、项目负责人原则上在整个配送服务周期内不得更换，确需更换的，必须书面报请采购人审批同意，未经同意不得更换。若自行更换的,采购人将在评估中酌情扣分，情节严重的将取消配送资格。</w:t>
      </w:r>
      <w:r>
        <w:rPr>
          <w:rFonts w:hint="eastAsia" w:ascii="宋体" w:hAnsi="宋体" w:cs="宋体"/>
          <w:color w:val="000000"/>
          <w:szCs w:val="21"/>
          <w:highlight w:val="non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3、根据高新区社会事业局、</w:t>
      </w:r>
      <w:r>
        <w:rPr>
          <w:rFonts w:hint="eastAsia" w:ascii="宋体" w:hAnsi="宋体" w:cs="宋体"/>
          <w:bCs/>
          <w:szCs w:val="21"/>
          <w:highlight w:val="none"/>
        </w:rPr>
        <w:t xml:space="preserve">柏庐城市管理办事处、亭林城市管理办事处</w:t>
      </w:r>
      <w:r>
        <w:rPr>
          <w:rFonts w:hint="eastAsia" w:ascii="宋体" w:hAnsi="宋体" w:cs="宋体"/>
          <w:szCs w:val="21"/>
          <w:highlight w:val="none"/>
        </w:rPr>
        <w:t xml:space="preserve">及</w:t>
      </w:r>
      <w:r>
        <w:rPr>
          <w:rFonts w:hint="eastAsia" w:ascii="宋体" w:hAnsi="宋体" w:cs="宋体"/>
          <w:color w:val="000000"/>
          <w:szCs w:val="21"/>
          <w:highlight w:val="none"/>
        </w:rPr>
        <w:t xml:space="preserve">村社区的每月评估结果，每季度进行综合评估，一年中出现二次综合得分在80分以下的采购人有权取消其配送资格。</w:t>
      </w:r>
      <w:r>
        <w:rPr>
          <w:rFonts w:hint="eastAsia" w:ascii="宋体" w:hAnsi="宋体" w:cs="宋体"/>
          <w:color w:val="000000"/>
          <w:szCs w:val="21"/>
          <w:highlight w:val="non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4、其他评估事项详见《采购合同条款》。</w:t>
      </w:r>
      <w:r>
        <w:rPr>
          <w:rFonts w:hint="eastAsia" w:ascii="宋体" w:hAnsi="宋体" w:cs="宋体"/>
          <w:color w:val="000000"/>
          <w:szCs w:val="21"/>
          <w:highlight w:val="none"/>
        </w:rPr>
      </w:r>
      <w:r/>
    </w:p>
    <w:p>
      <w:pPr>
        <w:pStyle w:val="9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六、综合说明：</w:t>
      </w:r>
      <w:r>
        <w:rPr>
          <w:rFonts w:hint="eastAsia" w:ascii="宋体" w:hAnsi="宋体" w:cs="宋体"/>
          <w:b/>
          <w:color w:val="000000"/>
          <w:szCs w:val="21"/>
          <w:highlight w:val="none"/>
        </w:rPr>
      </w:r>
      <w:r/>
    </w:p>
    <w:p>
      <w:pPr>
        <w:pStyle w:val="922"/>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1.本项目</w:t>
      </w:r>
      <w:r>
        <w:rPr>
          <w:rFonts w:hint="eastAsia" w:ascii="宋体" w:hAnsi="宋体" w:cs="宋体"/>
          <w:bCs/>
          <w:color w:val="000000"/>
          <w:szCs w:val="21"/>
          <w:highlight w:val="none"/>
          <w:lang w:val="zh-CN"/>
        </w:rPr>
        <w:t xml:space="preserve">报价</w:t>
      </w:r>
      <w:r>
        <w:rPr>
          <w:rFonts w:hint="eastAsia" w:ascii="宋体" w:hAnsi="宋体" w:cs="宋体"/>
          <w:szCs w:val="21"/>
          <w:highlight w:val="none"/>
        </w:rPr>
        <w:t xml:space="preserve">包含全部服务所需食材费、人工费、包装费、配送费、税费及政策性文件规定和合同所包含的所有风险、责任等各项应有费用。</w:t>
      </w:r>
      <w:r>
        <w:rPr>
          <w:rFonts w:hint="eastAsia" w:ascii="宋体" w:hAnsi="宋体" w:cs="宋体"/>
          <w:szCs w:val="21"/>
          <w:highlight w:val="none"/>
        </w:rPr>
      </w:r>
      <w:r/>
    </w:p>
    <w:p>
      <w:pPr>
        <w:pStyle w:val="922"/>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2.投标人在承诺时应考虑各种风险因素，相关风险因素费用已包含在报价中。风险因素包括遇重大活动、检查、突发情况、最低工资调整、物价调整、税费调整等。</w:t>
      </w:r>
      <w:r>
        <w:rPr>
          <w:rFonts w:hint="eastAsia" w:ascii="宋体" w:hAnsi="宋体" w:cs="宋体"/>
          <w:szCs w:val="21"/>
          <w:highlight w:val="none"/>
        </w:rPr>
      </w:r>
      <w:r/>
    </w:p>
    <w:p>
      <w:pPr>
        <w:pStyle w:val="922"/>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3.中标单位在整个配送服务周期内应配备充足人员、车辆及货物等，满足项目需求。</w:t>
      </w:r>
      <w:r>
        <w:rPr>
          <w:rFonts w:hint="eastAsia" w:ascii="宋体" w:hAnsi="宋体" w:cs="宋体"/>
          <w:color w:val="000000"/>
          <w:szCs w:val="21"/>
          <w:highlight w:val="none"/>
        </w:rPr>
      </w:r>
      <w:r/>
    </w:p>
    <w:p>
      <w:pPr>
        <w:pStyle w:val="922"/>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4.</w:t>
      </w:r>
      <w:r>
        <w:rPr>
          <w:rFonts w:hint="eastAsia" w:ascii="宋体" w:hAnsi="宋体" w:cs="宋体"/>
          <w:szCs w:val="21"/>
          <w:highlight w:val="none"/>
          <w:lang w:val="zh-CN"/>
        </w:rPr>
        <w:t xml:space="preserve">中标单位工作人员在本项目服务中出现人身等安全事故，中标单位独立承担一切刑事、民事责任，与采购人无关。</w:t>
      </w:r>
      <w:r>
        <w:rPr>
          <w:rFonts w:ascii="宋体" w:hAnsi="宋体" w:cs="宋体"/>
          <w:szCs w:val="21"/>
          <w:highlight w:val="none"/>
          <w:lang w:val="zh-CN"/>
        </w:rPr>
      </w:r>
      <w:r/>
    </w:p>
    <w:p>
      <w:pPr>
        <w:pStyle w:val="922"/>
        <w:ind w:firstLine="420"/>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5.</w:t>
      </w:r>
      <w:r>
        <w:rPr>
          <w:rFonts w:hint="eastAsia" w:ascii="宋体" w:hAnsi="宋体" w:cs="宋体"/>
          <w:szCs w:val="21"/>
          <w:highlight w:val="none"/>
        </w:rPr>
        <w:t xml:space="preserve">投标人应根据服务内容制定相应的服务方案。投标人必须响应本章节及合同文本的全部要求，否则为无效标，如果其中某些条款不响应时，应在偏离表中逐条列出，未列出的视同响应。</w:t>
      </w:r>
      <w:r>
        <w:rPr>
          <w:rFonts w:hint="eastAsia" w:ascii="宋体" w:hAnsi="宋体" w:cs="宋体"/>
          <w:szCs w:val="21"/>
          <w:highlight w:val="none"/>
        </w:rPr>
      </w:r>
      <w:r/>
    </w:p>
    <w:p>
      <w:pPr>
        <w:pStyle w:val="922"/>
        <w:ind w:firstLine="420"/>
        <w:spacing w:line="400" w:lineRule="exact"/>
        <w:rPr>
          <w:rFonts w:hint="eastAsia" w:ascii="宋体" w:hAnsi="宋体"/>
          <w:bCs/>
          <w:szCs w:val="21"/>
          <w:highlight w:val="none"/>
        </w:rPr>
      </w:pPr>
      <w:r>
        <w:rPr>
          <w:rFonts w:hint="eastAsia" w:ascii="宋体" w:hAnsi="宋体" w:cs="宋体"/>
          <w:szCs w:val="21"/>
          <w:highlight w:val="none"/>
        </w:rPr>
        <w:t xml:space="preserve">6.凡涉及招标文件的补充说明和修改，均以代理机构在苏州市政府采购网上发布的补充公告为准。</w:t>
      </w:r>
      <w:r>
        <w:rPr>
          <w:rFonts w:hint="eastAsia" w:ascii="宋体" w:hAnsi="宋体"/>
          <w:bCs/>
          <w:szCs w:val="21"/>
          <w:highlight w:val="none"/>
        </w:rPr>
      </w:r>
      <w:r/>
    </w:p>
    <w:p>
      <w:pPr>
        <w:pStyle w:val="922"/>
        <w:ind w:firstLine="480"/>
        <w:spacing w:line="360" w:lineRule="auto"/>
        <w:rPr>
          <w:color w:val="000000"/>
          <w:sz w:val="24"/>
          <w:highlight w:val="none"/>
        </w:rPr>
      </w:pPr>
      <w:r>
        <w:rPr>
          <w:rFonts w:ascii="宋体" w:hAnsi="宋体"/>
          <w:color w:val="000000"/>
          <w:sz w:val="24"/>
          <w:highlight w:val="none"/>
        </w:rPr>
        <w:br w:type="page" w:clear="all"/>
      </w:r>
      <w:r>
        <w:rPr>
          <w:color w:val="000000"/>
          <w:sz w:val="24"/>
          <w:highlight w:val="none"/>
        </w:rPr>
      </w:r>
      <w:r/>
    </w:p>
    <w:p>
      <w:pPr>
        <w:pStyle w:val="995"/>
        <w:rPr>
          <w:color w:val="000000"/>
          <w:sz w:val="24"/>
          <w:szCs w:val="24"/>
          <w:highlight w:val="none"/>
        </w:rPr>
      </w:pPr>
      <w:r/>
      <w:bookmarkStart w:id="57" w:name="_Toc178063810"/>
      <w:r>
        <w:rPr>
          <w:rFonts w:hint="eastAsia"/>
          <w:color w:val="000000"/>
          <w:sz w:val="24"/>
          <w:szCs w:val="24"/>
          <w:highlight w:val="none"/>
        </w:rPr>
        <w:t xml:space="preserve">第五章 </w:t>
      </w:r>
      <w:bookmarkEnd w:id="49"/>
      <w:r/>
      <w:bookmarkEnd w:id="50"/>
      <w:r>
        <w:rPr>
          <w:rFonts w:hint="eastAsia"/>
          <w:color w:val="000000"/>
          <w:sz w:val="24"/>
          <w:szCs w:val="24"/>
          <w:highlight w:val="none"/>
        </w:rPr>
        <w:t xml:space="preserve">合同主要内容</w:t>
      </w:r>
      <w:bookmarkEnd w:id="57"/>
      <w:r>
        <w:rPr>
          <w:color w:val="000000"/>
          <w:sz w:val="24"/>
          <w:szCs w:val="24"/>
          <w:highlight w:val="none"/>
        </w:rPr>
      </w:r>
      <w:r/>
    </w:p>
    <w:p>
      <w:pPr>
        <w:pStyle w:val="922"/>
        <w:spacing w:line="4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甲方（采购方）：</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922"/>
        <w:spacing w:line="46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乙方（供应方）：</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22"/>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乙方经参与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（以下简称甲方）依法组织的公开招投标程序，中标成为</w:t>
      </w:r>
      <w:r>
        <w:rPr>
          <w:rFonts w:hint="eastAsia" w:ascii="宋体" w:hAnsi="宋体"/>
          <w:color w:val="000000"/>
          <w:szCs w:val="21"/>
          <w:highlight w:val="none"/>
        </w:rPr>
        <w:t xml:space="preserve">昆山高新区社会事业局养老助餐服务项目</w:t>
      </w:r>
      <w:r>
        <w:rPr>
          <w:rFonts w:hint="eastAsia" w:ascii="宋体" w:hAnsi="宋体" w:cs="宋体"/>
          <w:color w:val="000000"/>
          <w:szCs w:val="21"/>
          <w:highlight w:val="none"/>
        </w:rPr>
        <w:t xml:space="preserve">的配送服务商。甲乙双方本着食品安全至上，平等互利、真诚合作的原则，达成如下条款，以资信守： </w:t>
      </w:r>
      <w:r>
        <w:rPr>
          <w:rFonts w:hint="eastAsia" w:ascii="宋体" w:hAnsi="宋体" w:cs="宋体"/>
          <w:color w:val="000000"/>
          <w:szCs w:val="21"/>
          <w:highlight w:val="none"/>
        </w:rPr>
      </w:r>
      <w:r/>
    </w:p>
    <w:p>
      <w:pPr>
        <w:pStyle w:val="922"/>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一、合同内容：</w:t>
      </w:r>
      <w:r>
        <w:rPr>
          <w:rFonts w:hint="eastAsia" w:ascii="宋体" w:hAnsi="宋体" w:cs="宋体"/>
          <w:color w:val="000000"/>
          <w:szCs w:val="21"/>
          <w:highlight w:val="none"/>
        </w:rPr>
      </w:r>
      <w:r/>
    </w:p>
    <w:p>
      <w:pPr>
        <w:pStyle w:val="922"/>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（一）乙方负责配送昆山高新区社会事业局2026年养老助餐项目（具体内容见招标文件和乙方的投标文件）。</w:t>
      </w:r>
      <w:r>
        <w:rPr>
          <w:rFonts w:hint="eastAsia" w:ascii="宋体" w:hAnsi="宋体" w:cs="宋体"/>
          <w:color w:val="000000"/>
          <w:szCs w:val="21"/>
          <w:highlight w:val="none"/>
        </w:rPr>
      </w:r>
      <w:r/>
    </w:p>
    <w:p>
      <w:pPr>
        <w:pStyle w:val="922"/>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（二）下列文件为本合同不可分割部分：</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2.乙方的投标文件；</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3.乙方在招投标过程中所作的其它承诺、声明、书面澄清等；</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4.招标文件及其附件；</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5.合同附件；</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以上与本合同具有同等法律效力</w:t>
      </w:r>
      <w:r>
        <w:rPr>
          <w:rFonts w:hint="eastAsia" w:ascii="宋体" w:hAnsi="宋体" w:cs="宋体"/>
          <w:color w:val="000000"/>
          <w:szCs w:val="21"/>
          <w:highlight w:val="none"/>
        </w:rPr>
      </w:r>
      <w:r/>
    </w:p>
    <w:p>
      <w:pPr>
        <w:pStyle w:val="922"/>
        <w:ind w:firstLine="315"/>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二、合同期限、配送规格、配送时间：</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1.合同有效期为</w:t>
      </w:r>
      <w:r>
        <w:rPr>
          <w:rFonts w:hint="eastAsia" w:ascii="宋体" w:hAnsi="宋体" w:cs="宋体"/>
          <w:color w:val="000000"/>
          <w:szCs w:val="21"/>
          <w:highlight w:val="none"/>
          <w:u w:val="single"/>
        </w:rPr>
        <w:t xml:space="preserve"> 1 </w:t>
      </w:r>
      <w:r>
        <w:rPr>
          <w:rFonts w:hint="eastAsia" w:ascii="宋体" w:hAnsi="宋体" w:cs="宋体"/>
          <w:color w:val="000000"/>
          <w:szCs w:val="21"/>
          <w:highlight w:val="none"/>
        </w:rPr>
        <w:t xml:space="preserve">年，自</w:t>
      </w:r>
      <w:r>
        <w:rPr>
          <w:rFonts w:hint="eastAsia" w:ascii="宋体" w:hAnsi="宋体" w:cs="宋体"/>
          <w:color w:val="000000"/>
          <w:szCs w:val="21"/>
          <w:highlight w:val="none"/>
          <w:u w:val="single"/>
        </w:rPr>
        <w:t xml:space="preserve">   年   月  日</w:t>
      </w:r>
      <w:r>
        <w:rPr>
          <w:rFonts w:hint="eastAsia" w:ascii="宋体" w:hAnsi="宋体" w:cs="宋体"/>
          <w:color w:val="000000"/>
          <w:szCs w:val="21"/>
          <w:highlight w:val="none"/>
        </w:rPr>
        <w:t xml:space="preserve">起至</w:t>
      </w:r>
      <w:r>
        <w:rPr>
          <w:rFonts w:hint="eastAsia" w:ascii="宋体" w:hAnsi="宋体" w:cs="宋体"/>
          <w:color w:val="000000"/>
          <w:szCs w:val="21"/>
          <w:highlight w:val="none"/>
          <w:u w:val="single"/>
        </w:rPr>
        <w:t xml:space="preserve">   年   月    日</w:t>
      </w:r>
      <w:r>
        <w:rPr>
          <w:rFonts w:hint="eastAsia" w:ascii="宋体" w:hAnsi="宋体" w:cs="宋体"/>
          <w:color w:val="000000"/>
          <w:szCs w:val="21"/>
          <w:highlight w:val="none"/>
        </w:rPr>
        <w:t xml:space="preserve">止。</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2.配送规格：一大荤一小荤一素一汤一饭</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1）大荤不少于150克/份，包含但不限于猪肉、牛肉、鸡肉、鸭肉、虾、鱼；</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2）小荤不少于100克/份，荤素菜搭配烧制，荤素比例7:3；</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3）素菜不少于100克/份，新鲜时令蔬菜；</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4）米饭不少于250克/份；</w:t>
      </w:r>
      <w:r>
        <w:rPr>
          <w:rFonts w:hint="eastAsia" w:ascii="宋体" w:hAnsi="宋体" w:cs="宋体"/>
          <w:color w:val="000000"/>
          <w:szCs w:val="21"/>
          <w:highlight w:val="none"/>
        </w:rPr>
      </w:r>
      <w:r/>
    </w:p>
    <w:p>
      <w:pPr>
        <w:pStyle w:val="922"/>
        <w:ind w:firstLine="56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3.配送时间：周一至周五中餐10:00—11:00、晚餐16:00-17:00（法定节假日除外），餐食制作完成至各配送点在途时间不超过1小时。</w:t>
      </w:r>
      <w:r>
        <w:rPr>
          <w:rFonts w:hint="eastAsia" w:ascii="宋体" w:hAnsi="宋体" w:cs="宋体"/>
          <w:color w:val="000000"/>
          <w:szCs w:val="21"/>
          <w:highlight w:val="none"/>
        </w:rPr>
      </w:r>
      <w:r/>
    </w:p>
    <w:p>
      <w:pPr>
        <w:pStyle w:val="922"/>
        <w:ind w:firstLine="21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三、合同金额、价款结算及履约保证金：</w:t>
      </w:r>
      <w:r>
        <w:rPr>
          <w:rFonts w:hint="eastAsia" w:ascii="宋体" w:hAnsi="宋体" w:cs="宋体"/>
          <w:color w:val="000000"/>
          <w:szCs w:val="21"/>
          <w:highlight w:val="none"/>
        </w:rPr>
      </w:r>
      <w:r/>
    </w:p>
    <w:p>
      <w:pPr>
        <w:pStyle w:val="922"/>
        <w:ind w:firstLine="420"/>
        <w:jc w:val="left"/>
        <w:spacing w:line="400" w:lineRule="exact"/>
        <w:rPr>
          <w:rFonts w:hint="eastAsia" w:ascii="宋体" w:hAnsi="宋体" w:cs="宋体"/>
          <w:szCs w:val="21"/>
          <w:highlight w:val="none"/>
        </w:rPr>
      </w:pPr>
      <w:r>
        <w:rPr>
          <w:rFonts w:hint="eastAsia" w:ascii="宋体" w:hAnsi="宋体" w:cs="宋体"/>
          <w:bCs/>
          <w:color w:val="000000"/>
          <w:szCs w:val="21"/>
          <w:highlight w:val="none"/>
        </w:rPr>
        <w:t xml:space="preserve">1、合同金额：大写</w:t>
      </w:r>
      <w:r>
        <w:rPr>
          <w:rFonts w:hint="eastAsia" w:ascii="宋体" w:hAnsi="宋体" w:cs="宋体"/>
          <w:szCs w:val="21"/>
          <w:highlight w:val="none"/>
        </w:rPr>
        <w:t xml:space="preserve">       元，合同单价：   元/人/餐，包括全部服务所需食材费、人工费、包装费、配送费、税费及政策性文件规定和合同所包含的所有风险、责任等各项应有费用。</w:t>
      </w:r>
      <w:r>
        <w:rPr>
          <w:rFonts w:hint="eastAsia" w:ascii="宋体" w:hAnsi="宋体" w:cs="宋体"/>
          <w:szCs w:val="21"/>
          <w:highlight w:val="none"/>
        </w:rPr>
      </w:r>
      <w:r/>
    </w:p>
    <w:p>
      <w:pPr>
        <w:pStyle w:val="922"/>
        <w:ind w:firstLine="422"/>
        <w:spacing w:line="4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2、价款结算：</w:t>
      </w:r>
      <w:r>
        <w:rPr>
          <w:rFonts w:hint="eastAsia" w:ascii="宋体" w:hAnsi="宋体" w:cs="宋体"/>
          <w:b/>
          <w:color w:val="000000"/>
          <w:szCs w:val="21"/>
          <w:highlight w:val="none"/>
        </w:rPr>
      </w:r>
      <w:r/>
    </w:p>
    <w:p>
      <w:pPr>
        <w:pStyle w:val="922"/>
        <w:ind w:firstLine="422"/>
        <w:spacing w:line="460" w:lineRule="exact"/>
        <w:rPr>
          <w:rFonts w:hint="eastAsia" w:ascii="宋体" w:hAnsi="宋体"/>
          <w:b/>
          <w:bCs/>
          <w:szCs w:val="21"/>
          <w:highlight w:val="none"/>
        </w:rPr>
      </w:pPr>
      <w:r>
        <w:rPr>
          <w:rFonts w:hint="eastAsia" w:ascii="宋体" w:hAnsi="宋体"/>
          <w:b/>
          <w:bCs/>
          <w:szCs w:val="21"/>
          <w:highlight w:val="none"/>
        </w:rPr>
        <w:t xml:space="preserve">合同签订生效后，预付款10%，其余款项按以下条款支付：</w:t>
      </w:r>
      <w:r>
        <w:rPr>
          <w:rFonts w:hint="eastAsia" w:ascii="宋体" w:hAnsi="宋体"/>
          <w:b/>
          <w:bCs/>
          <w:szCs w:val="21"/>
          <w:highlight w:val="none"/>
        </w:rPr>
      </w:r>
      <w:r/>
    </w:p>
    <w:p>
      <w:pPr>
        <w:pStyle w:val="922"/>
        <w:numPr>
          <w:ilvl w:val="0"/>
          <w:numId w:val="4"/>
        </w:numPr>
        <w:ind w:firstLine="420"/>
        <w:spacing w:line="460" w:lineRule="exact"/>
        <w:rPr>
          <w:rFonts w:hint="eastAsia" w:ascii="宋体" w:hAnsi="Courier New" w:cs="宋体"/>
          <w:szCs w:val="21"/>
          <w:highlight w:val="none"/>
        </w:rPr>
      </w:pPr>
      <w:r>
        <w:rPr>
          <w:rFonts w:hint="eastAsia" w:ascii="宋体" w:hAnsi="Courier New" w:cs="宋体"/>
          <w:szCs w:val="21"/>
          <w:highlight w:val="none"/>
        </w:rPr>
        <w:t xml:space="preserve">服务经费按月结算，甲方与乙方于每月3日前完成上月服务经费对账工作。乙方所提供的产品和服务的数量、质量，经甲方代表签字确认后，乙方应于10个工作日内，向甲方提交符合税务机关要求的合法等额发票。甲方对发票如有异议，应在收到乙方的发票后及时向乙方提出。</w:t>
      </w:r>
      <w:r>
        <w:rPr>
          <w:rFonts w:hint="eastAsia" w:ascii="宋体" w:hAnsi="Courier New" w:cs="宋体"/>
          <w:szCs w:val="21"/>
          <w:highlight w:val="none"/>
        </w:rPr>
      </w:r>
      <w:r/>
    </w:p>
    <w:p>
      <w:pPr>
        <w:pStyle w:val="922"/>
        <w:numPr>
          <w:ilvl w:val="0"/>
          <w:numId w:val="4"/>
        </w:numPr>
        <w:ind w:firstLine="420"/>
        <w:spacing w:line="460" w:lineRule="exact"/>
        <w:rPr>
          <w:rFonts w:hint="eastAsia" w:ascii="宋体" w:hAnsi="Courier New" w:cs="宋体"/>
          <w:szCs w:val="21"/>
          <w:highlight w:val="none"/>
        </w:rPr>
      </w:pPr>
      <w:r>
        <w:rPr>
          <w:rFonts w:hint="eastAsia" w:ascii="宋体" w:hAnsi="Courier New" w:cs="宋体"/>
          <w:szCs w:val="21"/>
          <w:highlight w:val="none"/>
        </w:rPr>
        <w:t xml:space="preserve">根据乙方的开票金额，每月月底前支付乙方上月服务经费的90%，剩余部分与考评得分相挂钩，每季度结算一次。考评得分80分及以上的，服务经费剩余10%部分全额支付；79分的按90%（即服务经费剩余10％部分的90%)支付；不足79分的，则每减少1分，再扣减1%（即服务经费剩余 10％部分的1%)。因扣减经费需要乙方重新开具发票的，乙方应予以重新开票。</w:t>
      </w:r>
      <w:r>
        <w:rPr>
          <w:rFonts w:hint="eastAsia" w:ascii="宋体" w:hAnsi="Courier New" w:cs="宋体"/>
          <w:szCs w:val="21"/>
          <w:highlight w:val="none"/>
        </w:rPr>
      </w:r>
      <w:r/>
    </w:p>
    <w:p>
      <w:pPr>
        <w:pStyle w:val="922"/>
        <w:numPr>
          <w:ilvl w:val="0"/>
          <w:numId w:val="4"/>
        </w:numPr>
        <w:ind w:firstLine="420"/>
        <w:spacing w:line="460" w:lineRule="exact"/>
        <w:rPr>
          <w:rFonts w:hint="eastAsia" w:ascii="宋体" w:hAnsi="Courier New" w:cs="宋体"/>
          <w:szCs w:val="21"/>
          <w:highlight w:val="none"/>
        </w:rPr>
      </w:pPr>
      <w:r>
        <w:rPr>
          <w:rFonts w:hint="eastAsia" w:ascii="宋体" w:hAnsi="Courier New" w:cs="宋体"/>
          <w:szCs w:val="21"/>
          <w:highlight w:val="none"/>
        </w:rPr>
        <w:t xml:space="preserve">实行月度评估制度，每月由采购人对配送公司进行评估。季度综合评估得分各项权重如下：月评估表70%，老年人就餐满意度抽查表30%。（具体表格见合同附件）。</w:t>
      </w:r>
      <w:r>
        <w:rPr>
          <w:rFonts w:hint="eastAsia" w:ascii="宋体" w:hAnsi="Courier New" w:cs="宋体"/>
          <w:szCs w:val="21"/>
          <w:highlight w:val="none"/>
        </w:rPr>
      </w:r>
      <w:r/>
    </w:p>
    <w:p>
      <w:pPr>
        <w:pStyle w:val="922"/>
        <w:numPr>
          <w:ilvl w:val="0"/>
          <w:numId w:val="4"/>
        </w:numPr>
        <w:ind w:firstLine="420"/>
        <w:spacing w:line="460" w:lineRule="exact"/>
        <w:rPr>
          <w:rFonts w:hint="eastAsia" w:ascii="宋体" w:hAnsi="Courier New" w:cs="宋体"/>
          <w:szCs w:val="21"/>
          <w:highlight w:val="none"/>
        </w:rPr>
      </w:pPr>
      <w:r>
        <w:rPr>
          <w:rFonts w:hint="eastAsia" w:ascii="宋体" w:hAnsi="Courier New" w:cs="宋体"/>
          <w:szCs w:val="21"/>
          <w:highlight w:val="none"/>
        </w:rPr>
        <w:t xml:space="preserve">乙方指定以下银行账户及数字人民币账户作为收款账户：</w:t>
      </w:r>
      <w:r>
        <w:rPr>
          <w:rFonts w:hint="eastAsia" w:ascii="宋体" w:hAnsi="Courier New" w:cs="宋体"/>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 (1）银行账户</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户 名： </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开户行： </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账 号：</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(2）数字人民币账户</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账户名称：</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账号：</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开 户 行： </w:t>
      </w:r>
      <w:r>
        <w:rPr>
          <w:rFonts w:hint="eastAsia" w:ascii="宋体" w:hAnsi="Courier New" w:cs="宋体"/>
          <w:color w:val="000000"/>
          <w:szCs w:val="21"/>
          <w:highlight w:val="none"/>
        </w:rPr>
      </w:r>
      <w:r/>
    </w:p>
    <w:p>
      <w:pPr>
        <w:pStyle w:val="922"/>
        <w:ind w:firstLine="420"/>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b/>
          <w:color w:val="000000"/>
          <w:szCs w:val="21"/>
          <w:highlight w:val="none"/>
        </w:rPr>
      </w:r>
      <w:r/>
    </w:p>
    <w:p>
      <w:pPr>
        <w:pStyle w:val="922"/>
        <w:ind w:firstLine="420"/>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（1）以上每次付款前，乙方均应提供符合甲方要求的同等金额的合法有效发票。否则，甲方有权顺延付款时间，且不承担任何违约或赔偿责任。</w:t>
      </w:r>
      <w:r>
        <w:rPr>
          <w:rFonts w:hint="eastAsia" w:ascii="宋体" w:hAnsi="宋体" w:cs="宋体"/>
          <w:b/>
          <w:color w:val="000000"/>
          <w:szCs w:val="21"/>
          <w:highlight w:val="none"/>
        </w:rPr>
      </w:r>
      <w:r/>
    </w:p>
    <w:p>
      <w:pPr>
        <w:pStyle w:val="941"/>
        <w:ind w:firstLine="420"/>
        <w:spacing w:line="400" w:lineRule="exact"/>
        <w:rPr>
          <w:rFonts w:hint="eastAsia" w:ascii="宋体" w:hAnsi="宋体" w:eastAsia="宋体" w:cs="宋体"/>
          <w:sz w:val="21"/>
          <w:szCs w:val="21"/>
          <w:highlight w:val="none"/>
          <w:lang w:val="zh-CN"/>
        </w:rPr>
      </w:pPr>
      <w:r>
        <w:rPr>
          <w:rFonts w:hint="eastAsia" w:ascii="宋体" w:hAnsi="宋体" w:eastAsia="宋体" w:cs="宋体"/>
          <w:b/>
          <w:color w:val="000000"/>
          <w:sz w:val="21"/>
          <w:szCs w:val="21"/>
          <w:highlight w:val="none"/>
        </w:rPr>
        <w:t xml:space="preserve">（2）</w:t>
      </w:r>
      <w:r>
        <w:rPr>
          <w:rFonts w:hint="eastAsia" w:ascii="宋体" w:hAnsi="宋体" w:eastAsia="宋体" w:cs="宋体"/>
          <w:b/>
          <w:bCs/>
          <w:sz w:val="21"/>
          <w:szCs w:val="21"/>
          <w:highlight w:val="none"/>
        </w:rPr>
        <w:t xml:space="preserve">本项目需求</w:t>
      </w:r>
      <w:r>
        <w:rPr>
          <w:rFonts w:hint="eastAsia" w:ascii="宋体" w:hAnsi="宋体" w:eastAsia="宋体" w:cs="宋体"/>
          <w:b/>
          <w:bCs/>
          <w:sz w:val="21"/>
          <w:szCs w:val="21"/>
          <w:highlight w:val="none"/>
          <w:lang w:val="zh-CN"/>
        </w:rPr>
        <w:t xml:space="preserve">量为预估量，具体实际送餐数量按每天实际情况而定，结算时按实际送餐数量进行结算。</w:t>
      </w:r>
      <w:r>
        <w:rPr>
          <w:rFonts w:hint="eastAsia" w:ascii="宋体" w:hAnsi="宋体" w:eastAsia="宋体" w:cs="宋体"/>
          <w:sz w:val="21"/>
          <w:szCs w:val="21"/>
          <w:highlight w:val="none"/>
          <w:lang w:val="zh-CN"/>
        </w:rPr>
      </w:r>
      <w:r/>
    </w:p>
    <w:p>
      <w:pPr>
        <w:pStyle w:val="922"/>
        <w:ind w:firstLine="420"/>
        <w:jc w:val="left"/>
        <w:spacing w:line="400" w:lineRule="exact"/>
        <w:rPr>
          <w:rFonts w:ascii="宋体" w:hAnsi="宋体" w:cs="宋体"/>
          <w:szCs w:val="21"/>
          <w:highlight w:val="none"/>
        </w:rPr>
      </w:pPr>
      <w:r>
        <w:rPr>
          <w:rFonts w:hint="eastAsia" w:ascii="宋体" w:hAnsi="宋体" w:cs="宋体"/>
          <w:b/>
          <w:color w:val="000000"/>
          <w:szCs w:val="21"/>
          <w:highlight w:val="none"/>
        </w:rPr>
        <w:t xml:space="preserve">3、履约保证金：无</w:t>
      </w:r>
      <w:r>
        <w:rPr>
          <w:rFonts w:hint="eastAsia" w:ascii="宋体" w:hAnsi="宋体" w:cs="宋体"/>
          <w:szCs w:val="21"/>
          <w:highlight w:val="none"/>
        </w:rPr>
        <w:t xml:space="preserve">。</w:t>
      </w:r>
      <w:r>
        <w:rPr>
          <w:rFonts w:ascii="宋体" w:hAnsi="宋体" w:cs="宋体"/>
          <w:szCs w:val="21"/>
          <w:highlight w:val="none"/>
        </w:rPr>
      </w:r>
      <w:r/>
    </w:p>
    <w:p>
      <w:pPr>
        <w:pStyle w:val="922"/>
        <w:ind w:firstLine="105"/>
        <w:jc w:val="left"/>
        <w:spacing w:line="400" w:lineRule="exact"/>
        <w:rPr>
          <w:rFonts w:hint="eastAsia" w:ascii="宋体" w:hAnsi="宋体" w:cs="宋体"/>
          <w:szCs w:val="21"/>
          <w:highlight w:val="none"/>
        </w:rPr>
      </w:pPr>
      <w:r>
        <w:rPr>
          <w:rFonts w:hint="eastAsia" w:ascii="宋体" w:hAnsi="宋体" w:cs="宋体"/>
          <w:szCs w:val="21"/>
          <w:highlight w:val="none"/>
        </w:rPr>
        <w:t xml:space="preserve">四、双方责任</w:t>
      </w:r>
      <w:r>
        <w:rPr>
          <w:rFonts w:hint="eastAsia" w:ascii="宋体" w:hAnsi="宋体" w:cs="宋体"/>
          <w:szCs w:val="21"/>
          <w:highlight w:val="none"/>
        </w:rPr>
      </w:r>
      <w:r/>
    </w:p>
    <w:p>
      <w:pPr>
        <w:pStyle w:val="922"/>
        <w:ind w:firstLine="405"/>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fldChar w:fldCharType="begin"/>
      </w:r>
      <w:r>
        <w:rPr>
          <w:rFonts w:hint="eastAsia" w:ascii="宋体" w:hAnsi="Courier New" w:cs="宋体"/>
          <w:color w:val="000000"/>
          <w:szCs w:val="21"/>
          <w:highlight w:val="none"/>
        </w:rPr>
        <w:instrText xml:space="preserve"> = 1 \* GB4 \* MERGEFORMAT </w:instrText>
      </w:r>
      <w:r>
        <w:rPr>
          <w:rFonts w:hint="eastAsia" w:ascii="宋体" w:hAnsi="Courier New" w:cs="宋体"/>
          <w:color w:val="000000"/>
          <w:szCs w:val="21"/>
          <w:highlight w:val="none"/>
        </w:rPr>
        <w:fldChar w:fldCharType="separate"/>
      </w:r>
      <w:r>
        <w:rPr>
          <w:rFonts w:hint="eastAsia" w:ascii="宋体" w:hAnsi="Courier New" w:cs="宋体"/>
          <w:color w:val="000000"/>
          <w:szCs w:val="21"/>
          <w:highlight w:val="none"/>
        </w:rPr>
        <w:t xml:space="preserve">㈠</w:t>
      </w:r>
      <w:r>
        <w:rPr>
          <w:rFonts w:hint="eastAsia" w:ascii="宋体" w:hAnsi="Courier New" w:cs="宋体"/>
          <w:color w:val="000000"/>
          <w:szCs w:val="21"/>
          <w:highlight w:val="none"/>
        </w:rPr>
        <w:fldChar w:fldCharType="end"/>
      </w:r>
      <w:r>
        <w:rPr>
          <w:rFonts w:hint="eastAsia" w:ascii="宋体" w:hAnsi="Courier New" w:cs="宋体"/>
          <w:color w:val="000000"/>
          <w:szCs w:val="21"/>
          <w:highlight w:val="none"/>
        </w:rPr>
        <w:t xml:space="preserve">甲方责任：</w:t>
      </w:r>
      <w:r>
        <w:rPr>
          <w:rFonts w:hint="eastAsia" w:ascii="宋体" w:hAnsi="Courier New" w:cs="宋体"/>
          <w:color w:val="000000"/>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1．提供供餐场所：甲方应告知乙方准确送餐地点，以便乙方能良好的履行本协议以及有效附件约定的义务。如甲方未能告知送餐地点导致乙方未能送餐的，不视为乙方违约。</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2．报知用餐人数：为配合乙方的正常供餐，甲方须于当天下午16:00之前上报次日用餐人员的大致数量。如甲方未能上报用餐人数的，乙方可按最近一次甲方上报人数送餐，甲方不得提出异议。</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3.甲方需及时确认乙方提前制定的下周菜谱，以便乙方能及时安排采购。</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4.甲方验收时须仔细核对配送清单，认真把好验收关，同时对配送餐进行留样抽查，并做好索证登记工作，确认无误后，在乙方的送货单上签收并存档，做到台账齐全。</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5.乙方如擅自不履行合同或违反本合同的任何条款及有其他违约、侵权或违反行政法律、法规的行为，给甲方或任何第三人造成损失，甲方可扣留部分或全部待支付货款，以抵付甲方或第三人所遭受的经济损失。</w:t>
      </w:r>
      <w:r>
        <w:rPr>
          <w:rFonts w:hint="eastAsia" w:ascii="宋体" w:hAnsi="宋体"/>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fldChar w:fldCharType="begin"/>
      </w:r>
      <w:r>
        <w:rPr>
          <w:rFonts w:hint="eastAsia" w:ascii="宋体" w:hAnsi="Courier New" w:cs="宋体"/>
          <w:color w:val="000000"/>
          <w:szCs w:val="21"/>
          <w:highlight w:val="none"/>
        </w:rPr>
        <w:instrText xml:space="preserve"> = 2 \* GB4 \* MERGEFORMAT </w:instrText>
      </w:r>
      <w:r>
        <w:rPr>
          <w:rFonts w:hint="eastAsia" w:ascii="宋体" w:hAnsi="Courier New" w:cs="宋体"/>
          <w:color w:val="000000"/>
          <w:szCs w:val="21"/>
          <w:highlight w:val="none"/>
        </w:rPr>
        <w:fldChar w:fldCharType="separate"/>
      </w:r>
      <w:r>
        <w:rPr>
          <w:rFonts w:hint="eastAsia" w:ascii="宋体" w:hAnsi="Courier New" w:cs="宋体"/>
          <w:color w:val="000000"/>
          <w:szCs w:val="21"/>
          <w:highlight w:val="none"/>
        </w:rPr>
        <w:t xml:space="preserve">㈡</w:t>
      </w:r>
      <w:r>
        <w:rPr>
          <w:rFonts w:hint="eastAsia" w:ascii="宋体" w:hAnsi="Courier New" w:cs="宋体"/>
          <w:color w:val="000000"/>
          <w:szCs w:val="21"/>
          <w:highlight w:val="none"/>
        </w:rPr>
        <w:fldChar w:fldCharType="end"/>
      </w:r>
      <w:r>
        <w:rPr>
          <w:rFonts w:hint="eastAsia" w:ascii="宋体" w:hAnsi="Courier New" w:cs="宋体"/>
          <w:color w:val="000000"/>
          <w:szCs w:val="21"/>
          <w:highlight w:val="none"/>
        </w:rPr>
        <w:t xml:space="preserve">乙方责任：</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1．人员配备</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(1）乙方应派遣训练有素、符合餐饮服务健康标准同时领有健康合格证的人员来现场为甲方提供高质量的服务并承诺建立从业人员晨检制度，发现有咳嗽、发热等症状不得安排其配送服务。</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(2) 乙方提供所有在甲方配送服务的人员名单及健康证，若有人员调动必须及时通知甲方并提供更新人员的健康证。</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(3）现场操作人员必须严格遵守甲方的规章制度，若有违反现象，甲方有权要求乙方立即更换或做相应的处罚。</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(4) 乙方须按劳动法合法用工</w:t>
      </w:r>
      <w:r>
        <w:rPr>
          <w:rFonts w:hint="eastAsia" w:ascii="宋体" w:hAnsi="Courier New" w:cs="宋体"/>
          <w:szCs w:val="21"/>
          <w:highlight w:val="none"/>
        </w:rPr>
        <w:t xml:space="preserve">，且不得返聘已退休人员</w:t>
      </w:r>
      <w:r>
        <w:rPr>
          <w:rFonts w:hint="eastAsia" w:ascii="宋体" w:hAnsi="Courier New" w:cs="宋体"/>
          <w:color w:val="000000"/>
          <w:szCs w:val="21"/>
          <w:highlight w:val="none"/>
        </w:rPr>
        <w:t xml:space="preserve">。</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(5) 乙方必须做到每日按时送餐，保证供餐时间，特殊情况下，应提前与甲方沟通，适当延长供餐时间。</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2．管理制度</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(1) 乙方负责提供配餐所需的设备和用具。</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(2）若发生食物中毒等意外事件，由上级卫生部门认定相关责任，所造成的损失由责任方赔偿。</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(3) 乙方人员在服务的过程中，意外受伤乙方自行承担责任。</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3．卫生及产品质量</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(1）乙方为提供约定的供餐服务可从乙方认为合适的供应渠道采购制作食品所需的原材料和消耗材料，并保证所购原材料和消耗材料质量符合卫生部门规定的标准。</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(2）乙方务必严格检查进货的卫生及质量，保证所有食物不隔餐使用以确保提供给甲方的饭菜质量。</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(3）乙方需在供餐服务中保持卫生清洁，遵守甲方制定的卫生方面的规章制度，餐饮中剩余物以及餐厅卫生、垃圾处理等由甲方负责。</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(4) 乙方根据本协议规定负责安排营养均衡、花色品种丰富的菜单及其它有关的供餐服务事宜，并须取得甲方指定工作人员的认可。</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(5) 乙方承诺所制作的食品符合卫生部门的要求，并对每天提供的主要食品留样48小时。另外，各日间照料中心（助餐点）点位每餐留样一份，留存在配送点位。</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4．检查监督</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(1）乙方接受甲方授权人员在不影响乙方正常运营的前提下，检查供餐场所及相关工作。</w:t>
      </w:r>
      <w:r>
        <w:rPr>
          <w:rFonts w:hint="eastAsia" w:ascii="宋体" w:hAnsi="Courier New" w:cs="宋体"/>
          <w:color w:val="000000"/>
          <w:szCs w:val="21"/>
          <w:highlight w:val="none"/>
        </w:rPr>
      </w:r>
      <w:r/>
    </w:p>
    <w:p>
      <w:pPr>
        <w:pStyle w:val="922"/>
        <w:ind w:firstLine="420"/>
        <w:spacing w:line="460" w:lineRule="exact"/>
        <w:rPr>
          <w:rFonts w:hint="eastAsia" w:ascii="宋体" w:hAnsi="Courier New" w:cs="宋体"/>
          <w:color w:val="000000"/>
          <w:szCs w:val="21"/>
          <w:highlight w:val="none"/>
        </w:rPr>
      </w:pPr>
      <w:r>
        <w:rPr>
          <w:rFonts w:hint="eastAsia" w:ascii="宋体" w:hAnsi="Courier New" w:cs="宋体"/>
          <w:color w:val="000000"/>
          <w:szCs w:val="21"/>
          <w:highlight w:val="none"/>
        </w:rPr>
        <w:t xml:space="preserve">(2) 乙方将专门指派一名员工担任现场服务主管，负责供餐服务现场的监督和协调工作，同甲方的日常联络工作。</w:t>
      </w:r>
      <w:r>
        <w:rPr>
          <w:rFonts w:hint="eastAsia" w:ascii="宋体" w:hAnsi="Courier New" w:cs="宋体"/>
          <w:color w:val="000000"/>
          <w:szCs w:val="21"/>
          <w:highlight w:val="none"/>
        </w:rPr>
      </w:r>
      <w:r/>
    </w:p>
    <w:p>
      <w:pPr>
        <w:pStyle w:val="922"/>
        <w:spacing w:line="360" w:lineRule="auto"/>
        <w:rPr>
          <w:rFonts w:ascii="宋体" w:hAnsi="宋体"/>
          <w:szCs w:val="21"/>
          <w:highlight w:val="none"/>
        </w:rPr>
      </w:pPr>
      <w:r>
        <w:rPr>
          <w:rFonts w:hint="eastAsia" w:ascii="宋体" w:hAnsi="宋体" w:cs="宋体"/>
          <w:color w:val="000000"/>
          <w:szCs w:val="21"/>
          <w:highlight w:val="none"/>
        </w:rPr>
        <w:t xml:space="preserve">五、</w:t>
      </w:r>
      <w:r>
        <w:rPr>
          <w:rFonts w:hint="eastAsia" w:ascii="宋体" w:hAnsi="宋体"/>
          <w:szCs w:val="21"/>
          <w:highlight w:val="none"/>
        </w:rPr>
        <w:t xml:space="preserve">餐饮产品质量、配送服务质量</w:t>
      </w:r>
      <w:r>
        <w:rPr>
          <w:rFonts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1．餐饮产品质量</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(1）乙方提供的餐饮产品必须符合国家以及当地有关餐饮行业食品安全及食品卫生的所有法律、法规的规定及标准。</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(2）乙方使用的所有原材料应有正规合法的来源渠道，不使用假冒伪劣产品、不使用过期变质产品、不使用无牌无证产品。</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(3) 乙方应保持厨房、配餐中心操作间内的场地清洁卫生（包括地面、台面、设施设备及自来水池等），配餐结束后乙方应将餐具用品、剩饭、剩菜等及时运离现场，并将配餐现场和餐厅清理干净。每周进行消毒和大扫除，保证配餐间的整洁干净和无"四害"及异味。</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(4) 乙方需按照甲方代表提出的意见对餐饮产品的质量和口味及时做出调整。</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2．配送服务质量</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乙方需保证其提供的餐饮产品配送过程中不发生污染、变味、变质、受潮、破损、泄漏等影响餐饮产品质量的情形。</w:t>
      </w:r>
      <w:r>
        <w:rPr>
          <w:rFonts w:hint="eastAsia" w:ascii="宋体" w:hAnsi="宋体"/>
          <w:szCs w:val="21"/>
          <w:highlight w:val="none"/>
        </w:rPr>
      </w:r>
      <w:r/>
    </w:p>
    <w:p>
      <w:pPr>
        <w:pStyle w:val="922"/>
        <w:spacing w:line="360" w:lineRule="auto"/>
        <w:rPr>
          <w:rFonts w:hint="eastAsia" w:ascii="宋体" w:hAnsi="宋体"/>
          <w:szCs w:val="21"/>
          <w:highlight w:val="none"/>
        </w:rPr>
      </w:pPr>
      <w:r>
        <w:rPr>
          <w:rFonts w:hint="eastAsia" w:ascii="宋体" w:hAnsi="宋体" w:cs="宋体"/>
          <w:color w:val="000000"/>
          <w:szCs w:val="21"/>
          <w:highlight w:val="none"/>
        </w:rPr>
        <w:t xml:space="preserve">六、</w:t>
      </w:r>
      <w:r>
        <w:rPr>
          <w:rFonts w:hint="eastAsia" w:ascii="宋体" w:hAnsi="宋体"/>
          <w:szCs w:val="21"/>
          <w:highlight w:val="none"/>
        </w:rPr>
        <w:t xml:space="preserve">违约责任</w:t>
      </w:r>
      <w:r>
        <w:rPr>
          <w:rFonts w:hint="eastAsia" w:ascii="宋体" w:hAnsi="宋体"/>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t xml:space="preserve">任何一方违约，守约方有权按照逾期价款的10％要求违约方支付违约金，违约金不足以弥补损失的，违约方还应据实赔偿。</w:t>
      </w:r>
      <w:r>
        <w:rPr>
          <w:rFonts w:hint="eastAsia" w:ascii="宋体" w:hAnsi="宋体"/>
          <w:szCs w:val="21"/>
          <w:highlight w:val="none"/>
        </w:rPr>
      </w:r>
      <w:r/>
    </w:p>
    <w:p>
      <w:pPr>
        <w:pStyle w:val="922"/>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七、附则</w:t>
      </w:r>
      <w:r>
        <w:rPr>
          <w:rFonts w:hint="eastAsia" w:ascii="宋体" w:hAnsi="宋体" w:cs="宋体"/>
          <w:color w:val="000000"/>
          <w:szCs w:val="21"/>
          <w:highlight w:val="none"/>
        </w:rPr>
      </w:r>
      <w:r/>
    </w:p>
    <w:p>
      <w:pPr>
        <w:pStyle w:val="922"/>
        <w:ind w:right="-252"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1、政府采购项目的采购合同自签订之日起七个工作日内，采购人应当将合同报昆山市政府采购管理机构备案。</w:t>
      </w:r>
      <w:r>
        <w:rPr>
          <w:rFonts w:hint="eastAsia" w:ascii="宋体" w:hAnsi="宋体" w:cs="宋体"/>
          <w:color w:val="000000"/>
          <w:szCs w:val="21"/>
          <w:highlight w:val="none"/>
        </w:rPr>
      </w:r>
      <w:r/>
    </w:p>
    <w:p>
      <w:pPr>
        <w:pStyle w:val="922"/>
        <w:ind w:right="-252"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2、本合同未尽事宜，签约双方应友好协商解决。协商不成，任何一方均可向甲方所在人民法院提起诉讼。</w:t>
      </w:r>
      <w:r>
        <w:rPr>
          <w:rFonts w:hint="eastAsia" w:ascii="宋体" w:hAnsi="宋体" w:cs="宋体"/>
          <w:color w:val="000000"/>
          <w:szCs w:val="21"/>
          <w:highlight w:val="non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                                      乙方：                      </w:t>
      </w: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法定代表人（授权代表）：                     法定代表人（授权代表）：     </w:t>
      </w: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签约日期：                                  签约日期：                  </w:t>
      </w: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开户行：</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                        开户行：</w:t>
      </w: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帐户：</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                帐户：</w:t>
      </w: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合同签定地：                               </w:t>
      </w: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附件1：</w:t>
      </w:r>
      <w:r>
        <w:rPr>
          <w:rFonts w:hint="eastAsia" w:ascii="宋体" w:hAnsi="宋体" w:cs="宋体"/>
          <w:color w:val="000000"/>
          <w:szCs w:val="21"/>
          <w:highlight w:val="none"/>
        </w:rPr>
      </w:r>
      <w:r/>
    </w:p>
    <w:tbl>
      <w:tblPr>
        <w:tblW w:w="8998" w:type="dxa"/>
        <w:tblInd w:w="-108" w:type="dxa"/>
        <w:tblLayout w:type="autofit"/>
        <w:tblCellMar>
          <w:left w:w="108" w:type="dxa"/>
          <w:top w:w="0" w:type="dxa"/>
          <w:right w:w="108" w:type="dxa"/>
          <w:bottom w:w="0" w:type="dxa"/>
        </w:tblCellMar>
        <w:tblLook w:val="04A0" w:firstRow="1" w:lastRow="0" w:firstColumn="1" w:lastColumn="0" w:noHBand="0" w:noVBand="1"/>
      </w:tblPr>
      <w:tblGrid>
        <w:gridCol w:w="1134"/>
        <w:gridCol w:w="302"/>
        <w:gridCol w:w="4909"/>
        <w:gridCol w:w="851"/>
        <w:gridCol w:w="1802"/>
      </w:tblGrid>
      <w:tr>
        <w:trPr>
          <w:trHeight w:val="330"/>
        </w:trPr>
        <w:tc>
          <w:tcPr>
            <w:gridSpan w:val="5"/>
            <w:tcBorders>
              <w:top w:val="none" w:color="000000" w:sz="4" w:space="0"/>
              <w:left w:val="none" w:color="000000" w:sz="4" w:space="0"/>
              <w:bottom w:val="none" w:color="000000" w:sz="4" w:space="0"/>
              <w:right w:val="none" w:color="000000" w:sz="4" w:space="0"/>
            </w:tcBorders>
            <w:tcW w:w="8998" w:type="dxa"/>
            <w:vAlign w:val="center"/>
            <w:textDirection w:val="lrTb"/>
            <w:noWrap/>
          </w:tcPr>
          <w:p>
            <w:pPr>
              <w:pStyle w:val="922"/>
              <w:jc w:val="center"/>
              <w:widowControl/>
              <w:rPr>
                <w:rFonts w:ascii="宋体" w:hAnsi="宋体" w:cs="宋体"/>
                <w:b/>
                <w:bCs/>
                <w:sz w:val="30"/>
                <w:szCs w:val="30"/>
                <w:highlight w:val="none"/>
                <w:lang w:bidi="ug-CN"/>
              </w:rPr>
            </w:pPr>
            <w:r>
              <w:rPr>
                <w:rFonts w:hint="eastAsia" w:ascii="宋体" w:hAnsi="宋体" w:cs="宋体"/>
                <w:b/>
                <w:bCs/>
                <w:sz w:val="30"/>
                <w:szCs w:val="30"/>
                <w:highlight w:val="none"/>
                <w:lang w:bidi="ug-CN"/>
              </w:rPr>
              <w:t xml:space="preserve">评估表</w:t>
            </w:r>
            <w:r>
              <w:rPr>
                <w:rFonts w:ascii="宋体" w:hAnsi="宋体" w:cs="宋体"/>
                <w:b/>
                <w:bCs/>
                <w:sz w:val="30"/>
                <w:szCs w:val="30"/>
                <w:highlight w:val="none"/>
                <w:lang w:bidi="ug-CN"/>
              </w:rPr>
            </w:r>
            <w:r/>
          </w:p>
        </w:tc>
      </w:tr>
      <w:tr>
        <w:trPr>
          <w:trHeight w:val="33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评分内容</w:t>
            </w:r>
            <w:r>
              <w:rPr>
                <w:rFonts w:ascii="仿宋_GB2312" w:hAnsi="仿宋_GB2312" w:cs="宋体"/>
                <w:b/>
                <w:bCs/>
                <w:sz w:val="20"/>
                <w:szCs w:val="20"/>
                <w:highlight w:val="none"/>
                <w:lang w:bidi="ug-CN"/>
              </w:rPr>
            </w:r>
            <w:r/>
          </w:p>
        </w:tc>
        <w:tc>
          <w:tcPr>
            <w:gridSpan w:val="2"/>
            <w:tcBorders>
              <w:top w:val="singl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评分内容及要求</w:t>
            </w:r>
            <w:r>
              <w:rPr>
                <w:rFonts w:ascii="仿宋_GB2312" w:hAnsi="仿宋_GB2312" w:cs="宋体"/>
                <w:b/>
                <w:bCs/>
                <w:sz w:val="20"/>
                <w:szCs w:val="20"/>
                <w:highlight w:val="none"/>
                <w:lang w:bidi="ug-CN"/>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分值</w:t>
            </w:r>
            <w:r>
              <w:rPr>
                <w:rFonts w:ascii="仿宋_GB2312" w:hAnsi="仿宋_GB2312" w:cs="宋体"/>
                <w:b/>
                <w:bCs/>
                <w:sz w:val="20"/>
                <w:szCs w:val="20"/>
                <w:highlight w:val="none"/>
                <w:lang w:bidi="ug-CN"/>
              </w:rPr>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备注</w:t>
            </w:r>
            <w:r>
              <w:rPr>
                <w:rFonts w:ascii="仿宋_GB2312" w:hAnsi="仿宋_GB2312" w:cs="宋体"/>
                <w:b/>
                <w:bCs/>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 一 )组织管理（10分）</w:t>
            </w: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组织架构：</w:t>
            </w:r>
            <w:r>
              <w:rPr>
                <w:rFonts w:ascii="仿宋_GB2312" w:hAnsi="仿宋_GB2312" w:cs="宋体"/>
                <w:sz w:val="20"/>
                <w:szCs w:val="20"/>
                <w:highlight w:val="none"/>
                <w:lang w:bidi="ug-CN"/>
              </w:rPr>
              <w:t xml:space="preserve">按约定配备人员，保持团队稳定；如有人员增减，应先报备，按流程进行；应在约定时间内完成人员更替，以不影响经营和服务质量为原则。</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人员管理：</w:t>
            </w:r>
            <w:r>
              <w:rPr>
                <w:rFonts w:ascii="仿宋_GB2312" w:hAnsi="仿宋_GB2312" w:cs="宋体"/>
                <w:sz w:val="20"/>
                <w:szCs w:val="20"/>
                <w:highlight w:val="none"/>
                <w:lang w:bidi="ug-CN"/>
              </w:rPr>
              <w:t xml:space="preserve">健全且及时更新制度，如岗位职责、考核标准、奖罚方案、应急预案、岗位责任制等，并及时上墙或公布；制度普及并持续落实，要求员工熟悉内容；公平、合理、按期进行员工考勤、考核。</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会议制度：</w:t>
            </w:r>
            <w:r>
              <w:rPr>
                <w:rFonts w:ascii="仿宋_GB2312" w:hAnsi="仿宋_GB2312" w:cs="宋体"/>
                <w:sz w:val="20"/>
                <w:szCs w:val="20"/>
                <w:highlight w:val="none"/>
                <w:lang w:bidi="ug-CN"/>
              </w:rPr>
              <w:t xml:space="preserve">健全制度；报备制定月度计划，按计划进行。</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培训制度：</w:t>
            </w:r>
            <w:r>
              <w:rPr>
                <w:rFonts w:ascii="仿宋_GB2312" w:hAnsi="仿宋_GB2312" w:cs="宋体"/>
                <w:sz w:val="20"/>
                <w:szCs w:val="20"/>
                <w:highlight w:val="none"/>
                <w:lang w:bidi="ug-CN"/>
              </w:rPr>
              <w:t xml:space="preserve">健全制度；制定月度计划，按计划进行。</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团队合作：</w:t>
            </w:r>
            <w:r>
              <w:rPr>
                <w:rFonts w:ascii="仿宋_GB2312" w:hAnsi="仿宋_GB2312" w:cs="宋体"/>
                <w:sz w:val="20"/>
                <w:szCs w:val="20"/>
                <w:highlight w:val="none"/>
                <w:lang w:bidi="ug-CN"/>
              </w:rPr>
              <w:t xml:space="preserve">员工团结，分工协作；能及时、良好地进行内部沟通；共同完成保障任务，提升技能与理念，提升个人素养。</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员工职业技能：</w:t>
            </w:r>
            <w:r>
              <w:rPr>
                <w:rFonts w:ascii="仿宋_GB2312" w:hAnsi="仿宋_GB2312" w:cs="宋体"/>
                <w:sz w:val="20"/>
                <w:szCs w:val="20"/>
                <w:highlight w:val="none"/>
                <w:lang w:bidi="ug-CN"/>
              </w:rPr>
              <w:t xml:space="preserve">上岗前应掌握必备的职业技能和道德素质，重要岗位需具备相应证书。</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员工健康：</w:t>
            </w:r>
            <w:r>
              <w:rPr>
                <w:rFonts w:ascii="仿宋_GB2312" w:hAnsi="仿宋_GB2312" w:cs="宋体"/>
                <w:sz w:val="20"/>
                <w:szCs w:val="20"/>
                <w:highlight w:val="none"/>
                <w:lang w:bidi="ug-CN"/>
              </w:rPr>
              <w:t xml:space="preserve">每年体检，健康证及时更新、上墙。</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工作纪律：</w:t>
            </w:r>
            <w:r>
              <w:rPr>
                <w:rFonts w:ascii="仿宋_GB2312" w:hAnsi="仿宋_GB2312" w:cs="宋体"/>
                <w:sz w:val="20"/>
                <w:szCs w:val="20"/>
                <w:highlight w:val="none"/>
                <w:lang w:bidi="ug-CN"/>
              </w:rPr>
              <w:t xml:space="preserve">员工遵守工作纪律；不擅自脱岗，在岗不做与工作无关的事；按规定和排班表上班和值班；按规定请假。</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仪容仪表：</w:t>
            </w:r>
            <w:r>
              <w:rPr>
                <w:rFonts w:ascii="仿宋_GB2312" w:hAnsi="仿宋_GB2312" w:cs="宋体"/>
                <w:sz w:val="20"/>
                <w:szCs w:val="20"/>
                <w:highlight w:val="none"/>
                <w:lang w:bidi="ug-CN"/>
              </w:rPr>
              <w:t xml:space="preserve">晨检记录完整过程真实，着装、发型整洁；规范佩戴工帽、口罩、手套等；不佩戴首饰，不留长指甲、不涂指甲油等。</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gridSpan w:val="2"/>
            <w:tcBorders>
              <w:top w:val="none" w:color="000000" w:sz="4" w:space="0"/>
              <w:left w:val="none" w:color="000000" w:sz="4" w:space="0"/>
              <w:bottom w:val="single" w:color="000000" w:sz="4" w:space="0"/>
              <w:right w:val="single" w:color="000000" w:sz="4" w:space="0"/>
            </w:tcBorders>
            <w:tcW w:w="5211"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文明礼貌：</w:t>
            </w:r>
            <w:r>
              <w:rPr>
                <w:rFonts w:ascii="仿宋_GB2312" w:hAnsi="仿宋_GB2312" w:cs="宋体"/>
                <w:sz w:val="20"/>
                <w:szCs w:val="20"/>
                <w:highlight w:val="none"/>
                <w:lang w:bidi="ug-CN"/>
              </w:rPr>
              <w:t xml:space="preserve">使用礼貌用语；不随意搭讪，不挑衅、取笑或辱骂服务对象，避免与服务对象发生口角。</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3"/>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小计</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10</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（二）食品安全与质量（45分）</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原材料出入库：</w:t>
            </w:r>
            <w:r>
              <w:rPr>
                <w:rFonts w:ascii="仿宋_GB2312" w:hAnsi="仿宋_GB2312" w:cs="宋体"/>
                <w:sz w:val="20"/>
                <w:szCs w:val="20"/>
                <w:highlight w:val="none"/>
                <w:lang w:bidi="ug-CN"/>
              </w:rPr>
              <w:t xml:space="preserve">明确采购与管理责任制，出库、入库有相关责任人验收、签字，建立档案记录；按不同分类进行存储，定期清理临期材料。保存原材料供应商的供货协议、供货清单等票据，并索取肉类、乳产品等供货者的经营资格证明。</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10</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原材料储存：</w:t>
            </w:r>
            <w:r>
              <w:rPr>
                <w:rFonts w:ascii="仿宋_GB2312" w:hAnsi="仿宋_GB2312" w:cs="宋体"/>
                <w:sz w:val="20"/>
                <w:szCs w:val="20"/>
                <w:highlight w:val="none"/>
                <w:lang w:bidi="ug-CN"/>
              </w:rPr>
              <w:t xml:space="preserve">按不同种类，区分常温、冷藏和冷冻等储存条件，分区存放；账卡物相一致；按仓库内标线摆放。</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6</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消杀用品：</w:t>
            </w:r>
            <w:r>
              <w:rPr>
                <w:rFonts w:ascii="仿宋_GB2312" w:hAnsi="仿宋_GB2312" w:cs="宋体"/>
                <w:sz w:val="20"/>
                <w:szCs w:val="20"/>
                <w:highlight w:val="none"/>
                <w:lang w:bidi="ug-CN"/>
              </w:rPr>
              <w:t xml:space="preserve">杀虫剂、清洗剂、消毒剂及其他有害化学制品需专人专管，并做好明显标识，不得与其他物品混放或接触。</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6</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菜品质量：</w:t>
            </w:r>
            <w:r>
              <w:rPr>
                <w:rFonts w:ascii="仿宋_GB2312" w:hAnsi="仿宋_GB2312" w:cs="宋体"/>
                <w:sz w:val="20"/>
                <w:szCs w:val="20"/>
                <w:highlight w:val="none"/>
                <w:lang w:bidi="ug-CN"/>
              </w:rPr>
              <w:t xml:space="preserve">符合“色香味形”的基本要求，搭配合理，新鲜、可口。无发黄、焦煳、不符合营养的搭配等现象。饭菜份量符合标准。（可累计扣分）</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9</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配送服务：</w:t>
            </w:r>
            <w:r>
              <w:rPr>
                <w:rFonts w:ascii="仿宋_GB2312" w:hAnsi="仿宋_GB2312" w:cs="宋体"/>
                <w:sz w:val="20"/>
                <w:szCs w:val="20"/>
                <w:highlight w:val="none"/>
                <w:lang w:bidi="ug-CN"/>
              </w:rPr>
              <w:t xml:space="preserve">掌握供餐速度，在预定时间内配送到点位。</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6</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饭菜保温：</w:t>
            </w:r>
            <w:r>
              <w:rPr>
                <w:rFonts w:ascii="仿宋_GB2312" w:hAnsi="仿宋_GB2312" w:cs="宋体"/>
                <w:sz w:val="20"/>
                <w:szCs w:val="20"/>
                <w:highlight w:val="none"/>
                <w:lang w:bidi="ug-CN"/>
              </w:rPr>
              <w:t xml:space="preserve">使用合适的专用密闭容器，确保饭菜可口保温。</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4</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服务态度：</w:t>
            </w:r>
            <w:r>
              <w:rPr>
                <w:rFonts w:ascii="仿宋_GB2312" w:hAnsi="仿宋_GB2312" w:cs="宋体"/>
                <w:sz w:val="20"/>
                <w:szCs w:val="20"/>
                <w:highlight w:val="none"/>
                <w:lang w:bidi="ug-CN"/>
              </w:rPr>
              <w:t xml:space="preserve">积极与报餐人员及点位接收人员沟通用餐份数及用餐情况等。</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4</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3"/>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小计</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45</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　</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通道：</w:t>
            </w:r>
            <w:r>
              <w:rPr>
                <w:rFonts w:ascii="仿宋_GB2312" w:hAnsi="仿宋_GB2312" w:cs="宋体"/>
                <w:sz w:val="20"/>
                <w:szCs w:val="20"/>
                <w:highlight w:val="none"/>
                <w:lang w:bidi="ug-CN"/>
              </w:rPr>
              <w:t xml:space="preserve">原材料、成品和垃圾通道等进行隔离；不共用，避免交叉污染。</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粗加工区：</w:t>
            </w:r>
            <w:r>
              <w:rPr>
                <w:rFonts w:ascii="仿宋_GB2312" w:hAnsi="仿宋_GB2312" w:cs="宋体"/>
                <w:sz w:val="20"/>
                <w:szCs w:val="20"/>
                <w:highlight w:val="none"/>
                <w:lang w:bidi="ug-CN"/>
              </w:rPr>
              <w:t xml:space="preserve">按动物性食品、植物性食品、水产品三类食品，分类、分区存放和处理。要求“一摘二洗三浸泡四清五切”。</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切配区：</w:t>
            </w:r>
            <w:r>
              <w:rPr>
                <w:rFonts w:ascii="仿宋_GB2312" w:hAnsi="仿宋_GB2312" w:cs="宋体"/>
                <w:sz w:val="20"/>
                <w:szCs w:val="20"/>
                <w:highlight w:val="none"/>
                <w:lang w:bidi="ug-CN"/>
              </w:rPr>
              <w:t xml:space="preserve">生食、熟食使用不同的砧板、刀具；按标准切配。</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处理过的材料保存：</w:t>
            </w:r>
            <w:r>
              <w:rPr>
                <w:rFonts w:ascii="仿宋_GB2312" w:hAnsi="仿宋_GB2312" w:cs="宋体"/>
                <w:sz w:val="20"/>
                <w:szCs w:val="20"/>
                <w:highlight w:val="none"/>
                <w:lang w:bidi="ug-CN"/>
              </w:rPr>
              <w:t xml:space="preserve">半成品、成品材料需按品类分类储存，开封后需注明保质期，隔夜存放需密封冷藏，短时存放需防尘。</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碗盘餐具清洁：</w:t>
            </w:r>
            <w:r>
              <w:rPr>
                <w:rFonts w:ascii="仿宋_GB2312" w:hAnsi="仿宋_GB2312" w:cs="宋体"/>
                <w:sz w:val="20"/>
                <w:szCs w:val="20"/>
                <w:highlight w:val="none"/>
                <w:lang w:bidi="ug-CN"/>
              </w:rPr>
              <w:t xml:space="preserve">抽检或普检干净合格；分区清洁；按标识摆放并做防尘处理，避免二次污染。</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center"/>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留样：</w:t>
            </w:r>
            <w:r>
              <w:rPr>
                <w:rFonts w:ascii="仿宋_GB2312" w:hAnsi="仿宋_GB2312" w:cs="宋体"/>
                <w:sz w:val="20"/>
                <w:szCs w:val="20"/>
                <w:highlight w:val="none"/>
                <w:lang w:bidi="ug-CN"/>
              </w:rPr>
              <w:t xml:space="preserve">配备留样专用容器；每样食品按要求留样，并记录，每样不少于100g，留样不少于48小时。</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防疫：</w:t>
            </w:r>
            <w:r>
              <w:rPr>
                <w:rFonts w:ascii="仿宋_GB2312" w:hAnsi="仿宋_GB2312" w:cs="宋体"/>
                <w:sz w:val="20"/>
                <w:szCs w:val="20"/>
                <w:highlight w:val="none"/>
                <w:lang w:bidi="ug-CN"/>
              </w:rPr>
              <w:t xml:space="preserve">每月进行虫鼠消杀防疫工作；未经许可，外部人员不得进入厨房；相关工作人员进入厨房要按规定着装。</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备餐区：</w:t>
            </w:r>
            <w:r>
              <w:rPr>
                <w:rFonts w:ascii="仿宋_GB2312" w:hAnsi="仿宋_GB2312" w:cs="宋体"/>
                <w:sz w:val="20"/>
                <w:szCs w:val="20"/>
                <w:highlight w:val="none"/>
                <w:lang w:bidi="ug-CN"/>
              </w:rPr>
              <w:t xml:space="preserve">闭餐后、开餐前及时清理售餐台，保持干净、明亮、无油污；结算台/收银台及时清理，保持无油污、水渍，物品摆放整齐；闭餐后2小时内做完全部清洁工作；保持无“四害”。</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后厨：</w:t>
            </w:r>
            <w:r>
              <w:rPr>
                <w:rFonts w:ascii="仿宋_GB2312" w:hAnsi="仿宋_GB2312" w:cs="宋体"/>
                <w:sz w:val="20"/>
                <w:szCs w:val="20"/>
                <w:highlight w:val="none"/>
                <w:lang w:bidi="ug-CN"/>
              </w:rPr>
              <w:t xml:space="preserve">保持台面、货架、地面整洁干净；使用后及时清洁，台面、货架等无油污、水渍、灰尘，地面无积水、油污；排水沟每日疏通清理；闭餐后2小时内做完全部清洁工作。定期进行大扫除，清理卫生死角。定期清洁油烟机管道。</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收餐区：</w:t>
            </w:r>
            <w:r>
              <w:rPr>
                <w:rFonts w:ascii="仿宋_GB2312" w:hAnsi="仿宋_GB2312" w:cs="宋体"/>
                <w:sz w:val="20"/>
                <w:szCs w:val="20"/>
                <w:highlight w:val="none"/>
                <w:lang w:bidi="ug-CN"/>
              </w:rPr>
              <w:t xml:space="preserve">餐具分类回收摆放；保持地面干净整洁；餐具回收箱框整齐摆放，每日清洁无油污、异味。</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垃圾处理：</w:t>
            </w:r>
            <w:r>
              <w:rPr>
                <w:rFonts w:ascii="仿宋_GB2312" w:hAnsi="仿宋_GB2312" w:cs="宋体"/>
                <w:sz w:val="20"/>
                <w:szCs w:val="20"/>
                <w:highlight w:val="none"/>
                <w:lang w:bidi="ug-CN"/>
              </w:rPr>
              <w:t xml:space="preserve">员工熟知食堂常见垃圾分类标准；走定点通道将分类垃圾送定点处理；做到日产日清。</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冷菜间：</w:t>
            </w:r>
            <w:r>
              <w:rPr>
                <w:rFonts w:ascii="仿宋_GB2312" w:hAnsi="仿宋_GB2312" w:cs="宋体"/>
                <w:sz w:val="20"/>
                <w:szCs w:val="20"/>
                <w:highlight w:val="none"/>
                <w:lang w:bidi="ug-CN"/>
              </w:rPr>
              <w:t xml:space="preserve">室温控制在22度以下；进入冷菜间要进行二次洗手、消毒，并更衣；冷菜制作遵守“五专原则”——专人、专室、专用工具、专用消毒设备、专用冷藏设备。</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蒸饭间：</w:t>
            </w:r>
            <w:r>
              <w:rPr>
                <w:rFonts w:ascii="仿宋_GB2312" w:hAnsi="仿宋_GB2312" w:cs="宋体"/>
                <w:sz w:val="20"/>
                <w:szCs w:val="20"/>
                <w:highlight w:val="none"/>
                <w:lang w:bidi="ug-CN"/>
              </w:rPr>
              <w:t xml:space="preserve">米袋要离地，按要求摆放，防止浸水、受潮；淘米区仅限淘米及规定范围内的器具清洗；只存放相应物品，不得堆放其他物品。</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加工时间要求：</w:t>
            </w:r>
            <w:r>
              <w:rPr>
                <w:rFonts w:ascii="仿宋_GB2312" w:hAnsi="仿宋_GB2312" w:cs="宋体"/>
                <w:sz w:val="20"/>
                <w:szCs w:val="20"/>
                <w:highlight w:val="none"/>
                <w:lang w:bidi="ug-CN"/>
              </w:rPr>
              <w:t xml:space="preserve">荤菜按营养建议时间进行加工；红烧肉类加工要足时熟透；蔬菜按“先根茎类后叶菜类”顺序制作。</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生产工具：</w:t>
            </w:r>
            <w:r>
              <w:rPr>
                <w:rFonts w:ascii="仿宋_GB2312" w:hAnsi="仿宋_GB2312" w:cs="宋体"/>
                <w:sz w:val="20"/>
                <w:szCs w:val="20"/>
                <w:highlight w:val="none"/>
                <w:lang w:bidi="ug-CN"/>
              </w:rPr>
              <w:t xml:space="preserve">砧板、刀具等按生熟分类使用，用完及时清洗并按指定位置摆放有序。</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盛放工具：</w:t>
            </w:r>
            <w:r>
              <w:rPr>
                <w:rFonts w:ascii="仿宋_GB2312" w:hAnsi="仿宋_GB2312" w:cs="宋体"/>
                <w:sz w:val="20"/>
                <w:szCs w:val="20"/>
                <w:highlight w:val="none"/>
                <w:lang w:bidi="ug-CN"/>
              </w:rPr>
              <w:t xml:space="preserve">用于盛放原料、半成品、成品的容器有明显的区分标识，严禁交叉使用，及时清洗消毒，并分开存放。</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卫生工具：</w:t>
            </w:r>
            <w:r>
              <w:rPr>
                <w:rFonts w:ascii="仿宋_GB2312" w:hAnsi="仿宋_GB2312" w:cs="宋体"/>
                <w:sz w:val="20"/>
                <w:szCs w:val="20"/>
                <w:highlight w:val="none"/>
                <w:lang w:bidi="ug-CN"/>
              </w:rPr>
              <w:t xml:space="preserve">抹布、拖把、垃圾桶等定点摆放，分区、分类使用。</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调料：</w:t>
            </w:r>
            <w:r>
              <w:rPr>
                <w:rFonts w:ascii="仿宋_GB2312" w:hAnsi="仿宋_GB2312" w:cs="宋体"/>
                <w:sz w:val="20"/>
                <w:szCs w:val="20"/>
                <w:highlight w:val="none"/>
                <w:lang w:bidi="ug-CN"/>
              </w:rPr>
              <w:t xml:space="preserve">调料领出库后，按热加工区的指定区域存放；拆封调料隔夜存放要进行密封处理（加盖或保鲜膜）；散装调料应注明使用日期，避免使用过期调料。禁用或限用相关调料，以甲方要求为准。</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空间消毒：</w:t>
            </w:r>
            <w:r>
              <w:rPr>
                <w:rFonts w:ascii="仿宋_GB2312" w:hAnsi="仿宋_GB2312" w:cs="宋体"/>
                <w:sz w:val="20"/>
                <w:szCs w:val="20"/>
                <w:highlight w:val="none"/>
                <w:lang w:bidi="ug-CN"/>
              </w:rPr>
              <w:t xml:space="preserve">每日对配餐间、后厨等食品加工、分装区进行场地清洁消毒。</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3"/>
            <w:tcBorders>
              <w:top w:val="single" w:color="000000" w:sz="4" w:space="0"/>
              <w:left w:val="single" w:color="000000" w:sz="4" w:space="0"/>
              <w:bottom w:val="single" w:color="000000" w:sz="4" w:space="0"/>
              <w:right w:val="single" w:color="000000" w:sz="4" w:space="0"/>
            </w:tcBorders>
            <w:tcW w:w="6345" w:type="dxa"/>
            <w:vAlign w:val="top"/>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小计</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23</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（四）安全生产管理（消防、燃气、电 ）（8分）</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消防设施设备每月进行检查，定点摆放，不得随意移动，或作其他用途；如有问题或过期，及时更换。</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消防通道不得作其他用途，不得堆放杂物。</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实行消防安全责任制，定期安排演习和宣传。每季度进行一次全员消防模拟演习或专题培训（有教案或PPT），每次应至少有90%以上的员工参与（有照片和签到佐证）；普及消防知识和消防器材使用方法。</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建立设备设施台账，定期进行检查、维保，并记录。煤气管道每月进行检查；电路每月进行检查。</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每日生产结束，关闭后厨水、电、气，杜绝消防隐患。</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做好危险警告标志及防范措施。</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做好公告信息更新。</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3"/>
            <w:tcBorders>
              <w:top w:val="single" w:color="000000" w:sz="4" w:space="0"/>
              <w:left w:val="single" w:color="000000" w:sz="4" w:space="0"/>
              <w:bottom w:val="single" w:color="000000" w:sz="4" w:space="0"/>
              <w:right w:val="single" w:color="000000" w:sz="4" w:space="0"/>
            </w:tcBorders>
            <w:tcW w:w="6345" w:type="dxa"/>
            <w:vAlign w:val="top"/>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小计</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8</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none" w:color="000000" w:sz="4" w:space="0"/>
              <w:right w:val="single" w:color="000000" w:sz="4" w:space="0"/>
            </w:tcBorders>
            <w:tcW w:w="1436" w:type="dxa"/>
            <w:vAlign w:val="center"/>
            <w:vMerge w:val="restart"/>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（六）  配送管理（8分）</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配送车辆及驾驶员证照齐全有效。</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non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配送车辆整洁，定期清洗消毒。</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non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车辆为食品配送专用车，不混用。</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non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配送餐具保持干净、整洁。</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1</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non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在规定时间内完成配送，以保障各日照中心的正常运行。</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3"/>
            <w:tcBorders>
              <w:top w:val="single" w:color="000000" w:sz="4" w:space="0"/>
              <w:left w:val="single" w:color="000000" w:sz="4" w:space="0"/>
              <w:bottom w:val="single" w:color="000000" w:sz="4" w:space="0"/>
              <w:right w:val="single" w:color="000000" w:sz="4" w:space="0"/>
            </w:tcBorders>
            <w:tcW w:w="6345" w:type="dxa"/>
            <w:vAlign w:val="top"/>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小计</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8</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（七）其他（6分）</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经核实，发生食物中出现异物、食物出品检验不合格等现象。</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建立纸质意见簿，及时作出相应整改。</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2</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2"/>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22"/>
              <w:jc w:val="left"/>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4909" w:type="dxa"/>
            <w:vAlign w:val="top"/>
            <w:textDirection w:val="lrTb"/>
            <w:noWrap w:val="false"/>
          </w:tcPr>
          <w:p>
            <w:pPr>
              <w:pStyle w:val="922"/>
              <w:jc w:val="left"/>
              <w:widowControl/>
              <w:rPr>
                <w:rFonts w:ascii="仿宋_GB2312" w:hAnsi="仿宋_GB2312" w:cs="宋体"/>
                <w:sz w:val="20"/>
                <w:szCs w:val="20"/>
                <w:highlight w:val="none"/>
                <w:lang w:bidi="ug-CN"/>
              </w:rPr>
            </w:pPr>
            <w:r>
              <w:rPr>
                <w:rFonts w:ascii="仿宋_GB2312" w:hAnsi="仿宋_GB2312" w:cs="宋体"/>
                <w:sz w:val="20"/>
                <w:szCs w:val="20"/>
                <w:highlight w:val="none"/>
                <w:lang w:bidi="ug-CN"/>
              </w:rPr>
              <w:t xml:space="preserve">在其他机构的检查中，发现问题的情况、整改速度、响应程度等</w:t>
            </w:r>
            <w:r>
              <w:rPr>
                <w:rFonts w:ascii="仿宋_GB2312" w:hAnsi="仿宋_GB2312"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2</w:t>
            </w:r>
            <w:r>
              <w:rPr>
                <w:rFonts w:ascii="宋体" w:hAnsi="宋体" w:cs="宋体"/>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3"/>
            <w:tcBorders>
              <w:top w:val="single" w:color="000000" w:sz="4" w:space="0"/>
              <w:left w:val="single" w:color="000000" w:sz="4" w:space="0"/>
              <w:bottom w:val="single" w:color="000000" w:sz="4" w:space="0"/>
              <w:right w:val="single" w:color="000000" w:sz="4" w:space="0"/>
            </w:tcBorders>
            <w:tcW w:w="6345" w:type="dxa"/>
            <w:vAlign w:val="top"/>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小计</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6</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r>
        <w:trPr>
          <w:trHeight w:val="330"/>
        </w:trPr>
        <w:tc>
          <w:tcPr>
            <w:gridSpan w:val="3"/>
            <w:tcBorders>
              <w:top w:val="single" w:color="000000" w:sz="4" w:space="0"/>
              <w:left w:val="single" w:color="000000" w:sz="4" w:space="0"/>
              <w:bottom w:val="single" w:color="000000" w:sz="4" w:space="0"/>
              <w:right w:val="single" w:color="000000" w:sz="4" w:space="0"/>
            </w:tcBorders>
            <w:tcW w:w="6345" w:type="dxa"/>
            <w:vAlign w:val="top"/>
            <w:textDirection w:val="lrTb"/>
            <w:noWrap w:val="false"/>
          </w:tcPr>
          <w:p>
            <w:pPr>
              <w:pStyle w:val="922"/>
              <w:jc w:val="center"/>
              <w:widowControl/>
              <w:rPr>
                <w:rFonts w:ascii="仿宋_GB2312" w:hAnsi="仿宋_GB2312" w:cs="宋体"/>
                <w:b/>
                <w:bCs/>
                <w:sz w:val="20"/>
                <w:szCs w:val="20"/>
                <w:highlight w:val="none"/>
                <w:lang w:bidi="ug-CN"/>
              </w:rPr>
            </w:pPr>
            <w:r>
              <w:rPr>
                <w:rFonts w:ascii="仿宋_GB2312" w:hAnsi="仿宋_GB2312" w:cs="宋体"/>
                <w:b/>
                <w:bCs/>
                <w:sz w:val="20"/>
                <w:szCs w:val="20"/>
                <w:highlight w:val="none"/>
                <w:lang w:bidi="ug-CN"/>
              </w:rPr>
              <w:t xml:space="preserve">总计</w:t>
            </w:r>
            <w:r>
              <w:rPr>
                <w:rFonts w:ascii="仿宋_GB2312" w:hAnsi="仿宋_GB2312"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22"/>
              <w:jc w:val="center"/>
              <w:widowControl/>
              <w:rPr>
                <w:rFonts w:ascii="宋体" w:hAnsi="宋体" w:cs="宋体"/>
                <w:b/>
                <w:bCs/>
                <w:sz w:val="20"/>
                <w:szCs w:val="20"/>
                <w:highlight w:val="none"/>
                <w:lang w:bidi="ug-CN"/>
              </w:rPr>
            </w:pPr>
            <w:r>
              <w:rPr>
                <w:rFonts w:hint="eastAsia" w:ascii="宋体" w:hAnsi="宋体" w:cs="宋体"/>
                <w:b/>
                <w:bCs/>
                <w:sz w:val="20"/>
                <w:szCs w:val="20"/>
                <w:highlight w:val="none"/>
                <w:lang w:bidi="ug-CN"/>
              </w:rPr>
              <w:t xml:space="preserve">100</w:t>
            </w:r>
            <w:r>
              <w:rPr>
                <w:rFonts w:ascii="宋体" w:hAnsi="宋体" w:cs="宋体"/>
                <w:b/>
                <w:bCs/>
                <w:sz w:val="20"/>
                <w:szCs w:val="20"/>
                <w:highlight w:val="none"/>
                <w:lang w:bidi="ug-CN"/>
              </w:rPr>
            </w:r>
            <w:r/>
          </w:p>
        </w:tc>
        <w:tc>
          <w:tcPr>
            <w:tcBorders>
              <w:top w:val="none" w:color="000000" w:sz="4" w:space="0"/>
              <w:left w:val="none" w:color="000000" w:sz="4" w:space="0"/>
              <w:bottom w:val="single" w:color="000000" w:sz="4" w:space="0"/>
              <w:right w:val="single" w:color="000000" w:sz="4" w:space="0"/>
            </w:tcBorders>
            <w:tcW w:w="1802" w:type="dxa"/>
            <w:vAlign w:val="center"/>
            <w:textDirection w:val="lrTb"/>
            <w:noWrap w:val="false"/>
          </w:tcPr>
          <w:p>
            <w:pPr>
              <w:pStyle w:val="922"/>
              <w:jc w:val="center"/>
              <w:widowControl/>
              <w:rPr>
                <w:rFonts w:ascii="宋体" w:hAnsi="宋体" w:cs="宋体"/>
                <w:sz w:val="20"/>
                <w:szCs w:val="20"/>
                <w:highlight w:val="none"/>
                <w:lang w:bidi="ug-CN"/>
              </w:rPr>
            </w:pPr>
            <w:r>
              <w:rPr>
                <w:rFonts w:hint="eastAsia" w:ascii="宋体" w:hAnsi="宋体" w:cs="宋体"/>
                <w:sz w:val="20"/>
                <w:szCs w:val="20"/>
                <w:highlight w:val="none"/>
                <w:lang w:bidi="ug-CN"/>
              </w:rPr>
              <w:t xml:space="preserve">　</w:t>
            </w:r>
            <w:r>
              <w:rPr>
                <w:rFonts w:ascii="宋体" w:hAnsi="宋体" w:cs="宋体"/>
                <w:sz w:val="20"/>
                <w:szCs w:val="20"/>
                <w:highlight w:val="none"/>
                <w:lang w:bidi="ug-CN"/>
              </w:rPr>
            </w:r>
            <w:r/>
          </w:p>
        </w:tc>
      </w:tr>
    </w:tbl>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附件2：</w:t>
      </w:r>
      <w:r>
        <w:rPr>
          <w:rFonts w:hint="eastAsia" w:ascii="宋体" w:hAnsi="宋体" w:cs="宋体"/>
          <w:color w:val="000000"/>
          <w:szCs w:val="21"/>
          <w:highlight w:val="none"/>
        </w:rPr>
      </w:r>
      <w:r/>
    </w:p>
    <w:tbl>
      <w:tblPr>
        <w:tblW w:w="9236" w:type="dxa"/>
        <w:tblInd w:w="-15" w:type="dxa"/>
        <w:tblLayout w:type="fixed"/>
        <w:tblCellMar>
          <w:left w:w="108" w:type="dxa"/>
          <w:top w:w="0" w:type="dxa"/>
          <w:right w:w="108" w:type="dxa"/>
          <w:bottom w:w="0" w:type="dxa"/>
        </w:tblCellMar>
        <w:tblLook w:val="04A0" w:firstRow="1" w:lastRow="0" w:firstColumn="1" w:lastColumn="0" w:noHBand="0" w:noVBand="1"/>
      </w:tblPr>
      <w:tblGrid>
        <w:gridCol w:w="3330"/>
        <w:gridCol w:w="1361"/>
        <w:gridCol w:w="1424"/>
        <w:gridCol w:w="1697"/>
        <w:gridCol w:w="1424"/>
      </w:tblGrid>
      <w:tr>
        <w:trPr>
          <w:trHeight w:val="600"/>
        </w:trPr>
        <w:tc>
          <w:tcPr>
            <w:gridSpan w:val="5"/>
            <w:tcBorders>
              <w:top w:val="single" w:color="000000" w:sz="4" w:space="0"/>
              <w:left w:val="single" w:color="000000" w:sz="4" w:space="0"/>
              <w:bottom w:val="single" w:color="000000" w:sz="4" w:space="0"/>
              <w:right w:val="single" w:color="000000" w:sz="4" w:space="0"/>
            </w:tcBorders>
            <w:tcW w:w="9236" w:type="dxa"/>
            <w:vAlign w:val="center"/>
            <w:textDirection w:val="lrTb"/>
            <w:noWrap/>
          </w:tcPr>
          <w:p>
            <w:pPr>
              <w:pStyle w:val="922"/>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老年人就餐满意度测评表</w:t>
            </w:r>
            <w:r>
              <w:rPr>
                <w:rFonts w:hint="eastAsia" w:ascii="宋体" w:hAnsi="宋体" w:cs="宋体"/>
                <w:b/>
                <w:bCs/>
                <w:color w:val="000000"/>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pStyle w:val="92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项目及要求</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92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满意        (20分)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92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比较满意    (18分)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92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一般满意         (15分)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92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较差         (10分)</w:t>
            </w:r>
            <w:r>
              <w:rPr>
                <w:rFonts w:hint="eastAsia" w:ascii="宋体" w:hAnsi="宋体" w:cs="宋体"/>
                <w:color w:val="000000"/>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922"/>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主食质量:主食品制作规范，用料合理，不生、不糊</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922"/>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主食花样:品种花样轮流变换，讲究营养，搭配合理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922"/>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副食质量:副食加工精细，烹任适宜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922"/>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副食花样:副食品种花样轮流变换，营养丰富，搭配合理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922"/>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饭、菜量合理，符合一餐需求，口味适合，老年人习惯和特点</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2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900"/>
        </w:trPr>
        <w:tc>
          <w:tcPr>
            <w:gridSpan w:val="5"/>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922"/>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汇总得分:</w:t>
            </w:r>
            <w:r>
              <w:rPr>
                <w:rFonts w:hint="eastAsia" w:ascii="宋体" w:hAnsi="宋体" w:cs="宋体"/>
                <w:color w:val="000000"/>
                <w:sz w:val="22"/>
                <w:szCs w:val="22"/>
                <w:highlight w:val="none"/>
              </w:rPr>
            </w:r>
            <w:r/>
          </w:p>
        </w:tc>
      </w:tr>
      <w:tr>
        <w:trPr>
          <w:trHeight w:val="900"/>
        </w:trPr>
        <w:tc>
          <w:tcPr>
            <w:gridSpan w:val="5"/>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922"/>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测评人签名:</w:t>
            </w:r>
            <w:r>
              <w:rPr>
                <w:rFonts w:hint="eastAsia" w:ascii="宋体" w:hAnsi="宋体" w:cs="宋体"/>
                <w:color w:val="000000"/>
                <w:sz w:val="22"/>
                <w:szCs w:val="22"/>
                <w:highlight w:val="none"/>
              </w:rPr>
            </w:r>
            <w:r/>
          </w:p>
        </w:tc>
      </w:tr>
      <w:tr>
        <w:trPr>
          <w:trHeight w:val="900"/>
        </w:trPr>
        <w:tc>
          <w:tcPr>
            <w:gridSpan w:val="5"/>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922"/>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备注:1、就餐老人按所列项目，将自己的满意情况在相应的栏目中划“√”。                                       2、可将自已认为切实可行的具体意见填写在意见与建议栏中。                 </w:t>
            </w:r>
            <w:r>
              <w:rPr>
                <w:rFonts w:hint="eastAsia" w:ascii="宋体" w:hAnsi="宋体" w:cs="宋体"/>
                <w:color w:val="000000"/>
                <w:sz w:val="22"/>
                <w:szCs w:val="22"/>
                <w:highlight w:val="none"/>
              </w:rPr>
            </w:r>
            <w:r/>
          </w:p>
        </w:tc>
      </w:tr>
      <w:tr>
        <w:trPr>
          <w:trHeight w:val="900"/>
        </w:trPr>
        <w:tc>
          <w:tcPr>
            <w:gridSpan w:val="5"/>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922"/>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意见、建议补充:</w:t>
            </w:r>
            <w:r>
              <w:rPr>
                <w:rFonts w:hint="eastAsia" w:ascii="宋体" w:hAnsi="宋体" w:cs="宋体"/>
                <w:color w:val="000000"/>
                <w:sz w:val="22"/>
                <w:szCs w:val="22"/>
                <w:highlight w:val="none"/>
              </w:rPr>
            </w:r>
            <w:r/>
          </w:p>
        </w:tc>
      </w:tr>
    </w:tbl>
    <w:p>
      <w:pPr>
        <w:pStyle w:val="1227"/>
        <w:ind w:firstLine="210"/>
        <w:spacing w:line="600" w:lineRule="exact"/>
        <w:rPr>
          <w:rFonts w:hAnsi="宋体" w:eastAsia="宋体"/>
          <w:sz w:val="21"/>
          <w:szCs w:val="21"/>
          <w:highlight w:val="none"/>
        </w:rPr>
      </w:pPr>
      <w:r>
        <w:rPr>
          <w:rFonts w:hAnsi="宋体" w:eastAsia="宋体"/>
          <w:sz w:val="21"/>
          <w:szCs w:val="21"/>
          <w:highlight w:val="none"/>
        </w:rPr>
      </w:r>
      <w:r/>
    </w:p>
    <w:p>
      <w:pPr>
        <w:pStyle w:val="922"/>
        <w:ind w:firstLine="420"/>
        <w:spacing w:line="360" w:lineRule="auto"/>
        <w:rPr>
          <w:rFonts w:hint="eastAsia" w:ascii="宋体" w:hAnsi="宋体"/>
          <w:szCs w:val="21"/>
          <w:highlight w:val="none"/>
        </w:rPr>
      </w:pPr>
      <w:r>
        <w:rPr>
          <w:rFonts w:hint="eastAsia" w:ascii="宋体" w:hAnsi="宋体"/>
          <w:szCs w:val="21"/>
          <w:highlight w:val="none"/>
        </w:rPr>
      </w:r>
      <w:r/>
    </w:p>
    <w:p>
      <w:pPr>
        <w:pStyle w:val="922"/>
        <w:ind w:firstLine="420"/>
        <w:jc w:val="left"/>
        <w:spacing w:line="360" w:lineRule="auto"/>
        <w:rPr>
          <w:rFonts w:hint="eastAsia" w:ascii="宋体" w:hAnsi="宋体" w:cs="Courier New"/>
          <w:szCs w:val="21"/>
          <w:highlight w:val="none"/>
        </w:rPr>
      </w:pPr>
      <w:r>
        <w:rPr>
          <w:rFonts w:hint="eastAsia" w:ascii="宋体" w:hAnsi="宋体" w:cs="Courier New"/>
          <w:szCs w:val="21"/>
          <w:highlight w:val="none"/>
        </w:rPr>
      </w:r>
      <w:r/>
    </w:p>
    <w:p>
      <w:pPr>
        <w:pStyle w:val="995"/>
        <w:rPr>
          <w:rFonts w:hint="eastAsia"/>
          <w:color w:val="000000"/>
          <w:sz w:val="24"/>
          <w:szCs w:val="24"/>
          <w:highlight w:val="none"/>
        </w:rPr>
      </w:pPr>
      <w:r>
        <w:rPr>
          <w:color w:val="000000"/>
          <w:sz w:val="24"/>
          <w:szCs w:val="24"/>
          <w:highlight w:val="none"/>
        </w:rPr>
        <w:br w:type="page" w:clear="all"/>
      </w:r>
      <w:bookmarkStart w:id="58" w:name="_Toc178063811"/>
      <w:r>
        <w:rPr>
          <w:rFonts w:hint="eastAsia"/>
          <w:color w:val="000000"/>
          <w:sz w:val="24"/>
          <w:szCs w:val="24"/>
          <w:highlight w:val="none"/>
        </w:rPr>
        <w:t xml:space="preserve">第六章  评标方法、采购政策、评分标准</w:t>
      </w:r>
      <w:bookmarkEnd w:id="58"/>
      <w:r>
        <w:rPr>
          <w:rFonts w:hint="eastAsia"/>
          <w:color w:val="000000"/>
          <w:sz w:val="24"/>
          <w:szCs w:val="24"/>
          <w:highlight w:val="none"/>
        </w:rPr>
      </w:r>
      <w:r/>
    </w:p>
    <w:p>
      <w:pPr>
        <w:pStyle w:val="922"/>
        <w:spacing w:line="360" w:lineRule="auto"/>
        <w:rPr>
          <w:rFonts w:ascii="宋体" w:hAnsi="宋体"/>
          <w:b/>
          <w:szCs w:val="21"/>
          <w:highlight w:val="none"/>
        </w:rPr>
      </w:pPr>
      <w:r>
        <w:rPr>
          <w:rFonts w:hint="eastAsia" w:ascii="宋体" w:hAnsi="宋体"/>
          <w:b/>
          <w:szCs w:val="21"/>
          <w:highlight w:val="none"/>
        </w:rPr>
        <w:t xml:space="preserve">一、评分办法</w:t>
      </w:r>
      <w:r>
        <w:rPr>
          <w:rFonts w:ascii="宋体" w:hAnsi="宋体"/>
          <w:b/>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rPr>
          <w:rFonts w:ascii="宋体" w:hAnsi="宋体"/>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综合评分的主要因素为：价格、人员配备、技术</w:t>
      </w:r>
      <w:r>
        <w:rPr>
          <w:rFonts w:ascii="宋体" w:hAnsi="宋体"/>
          <w:szCs w:val="21"/>
          <w:highlight w:val="none"/>
        </w:rPr>
        <w:t xml:space="preserve">力量、</w:t>
      </w:r>
      <w:r>
        <w:rPr>
          <w:rFonts w:hint="eastAsia" w:ascii="宋体" w:hAnsi="宋体"/>
          <w:szCs w:val="21"/>
          <w:highlight w:val="none"/>
        </w:rPr>
        <w:t xml:space="preserve">项目方案、服务保障、投标人的综合情况、业绩、服务、承诺、对招标文件的响应程度，以及相应的比重或者数值等。总分值为100分，价格分值占总分值的比重为1</w:t>
      </w:r>
      <w:r>
        <w:rPr>
          <w:rFonts w:ascii="宋体" w:hAnsi="宋体"/>
          <w:szCs w:val="21"/>
          <w:highlight w:val="none"/>
        </w:rPr>
        <w:t xml:space="preserve">0</w:t>
      </w:r>
      <w:r>
        <w:rPr>
          <w:rFonts w:hint="eastAsia" w:ascii="宋体" w:hAnsi="宋体"/>
          <w:szCs w:val="21"/>
          <w:highlight w:val="none"/>
        </w:rPr>
        <w:t xml:space="preserve">%（权重），</w:t>
      </w:r>
      <w:r>
        <w:rPr>
          <w:rFonts w:hint="eastAsia" w:ascii="宋体" w:hAnsi="宋体"/>
          <w:highlight w:val="none"/>
        </w:rPr>
        <w:t xml:space="preserve">技术部分和商务部分分值占总分值的比重为90%（权重）</w:t>
      </w:r>
      <w:r>
        <w:rPr>
          <w:rFonts w:hint="eastAsia" w:ascii="宋体" w:hAnsi="宋体"/>
          <w:szCs w:val="21"/>
          <w:highlight w:val="none"/>
        </w:rPr>
        <w:t xml:space="preserve">。</w:t>
      </w:r>
      <w:r>
        <w:rPr>
          <w:rFonts w:ascii="宋体" w:hAnsi="宋体"/>
          <w:szCs w:val="21"/>
          <w:highlight w:val="none"/>
        </w:rPr>
      </w:r>
      <w:r/>
    </w:p>
    <w:p>
      <w:pPr>
        <w:pStyle w:val="922"/>
        <w:ind w:firstLine="420"/>
        <w:spacing w:line="360" w:lineRule="auto"/>
        <w:rPr>
          <w:rFonts w:ascii="宋体" w:hAnsi="宋体"/>
          <w:szCs w:val="21"/>
          <w:highlight w:val="none"/>
        </w:rPr>
      </w:pPr>
      <w:r>
        <w:rPr>
          <w:rFonts w:ascii="宋体" w:hAnsi="宋体"/>
          <w:szCs w:val="21"/>
          <w:highlight w:val="none"/>
        </w:rPr>
        <w:t xml:space="preserve">评标时，评标委员会分别对每个有效投标人的投标书（报价除外）进行评价、打分，</w:t>
      </w:r>
      <w:r>
        <w:rPr>
          <w:rFonts w:hint="eastAsia" w:ascii="宋体" w:hAnsi="宋体"/>
          <w:szCs w:val="21"/>
          <w:highlight w:val="none"/>
        </w:rPr>
        <w:t xml:space="preserve">然后通过软件</w:t>
      </w:r>
      <w:r>
        <w:rPr>
          <w:rFonts w:ascii="宋体" w:hAnsi="宋体"/>
          <w:szCs w:val="21"/>
          <w:highlight w:val="none"/>
        </w:rPr>
        <w:t xml:space="preserve">进行统计汇总，按算术平均方法计算出每个投标人的得分；报价得分</w:t>
      </w:r>
      <w:r>
        <w:rPr>
          <w:rFonts w:hint="eastAsia" w:ascii="宋体" w:hAnsi="宋体"/>
          <w:szCs w:val="21"/>
          <w:highlight w:val="none"/>
        </w:rPr>
        <w:t xml:space="preserve">软件自动生成</w:t>
      </w:r>
      <w:r>
        <w:rPr>
          <w:rFonts w:ascii="宋体" w:hAnsi="宋体"/>
          <w:szCs w:val="21"/>
          <w:highlight w:val="none"/>
        </w:rPr>
        <w:t xml:space="preserve">，二者相加为投标人的综合</w:t>
      </w:r>
      <w:r>
        <w:rPr>
          <w:rFonts w:hint="eastAsia" w:ascii="宋体" w:hAnsi="宋体"/>
          <w:szCs w:val="21"/>
          <w:highlight w:val="none"/>
        </w:rPr>
        <w:t xml:space="preserve">得</w:t>
      </w:r>
      <w:r>
        <w:rPr>
          <w:rFonts w:ascii="宋体" w:hAnsi="宋体"/>
          <w:szCs w:val="21"/>
          <w:highlight w:val="none"/>
        </w:rPr>
        <w:t xml:space="preserve">分（各项得分按四舍五入原则精确到小数点后两位）。综合</w:t>
      </w:r>
      <w:r>
        <w:rPr>
          <w:rFonts w:hint="eastAsia" w:ascii="宋体" w:hAnsi="宋体"/>
          <w:szCs w:val="21"/>
          <w:highlight w:val="none"/>
        </w:rPr>
        <w:t xml:space="preserve">得</w:t>
      </w:r>
      <w:r>
        <w:rPr>
          <w:rFonts w:ascii="宋体" w:hAnsi="宋体"/>
          <w:szCs w:val="21"/>
          <w:highlight w:val="none"/>
        </w:rPr>
        <w:t xml:space="preserve">分相同的，按</w:t>
      </w:r>
      <w:r>
        <w:rPr>
          <w:rFonts w:hint="eastAsia" w:ascii="宋体" w:hAnsi="宋体"/>
          <w:szCs w:val="21"/>
          <w:highlight w:val="none"/>
        </w:rPr>
        <w:t xml:space="preserve">投标报价</w:t>
      </w:r>
      <w:r>
        <w:rPr>
          <w:rFonts w:ascii="宋体" w:hAnsi="宋体"/>
          <w:szCs w:val="21"/>
          <w:highlight w:val="none"/>
        </w:rPr>
        <w:t xml:space="preserve">由低到高顺序排列；综合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相同的，按技术评分由高到低顺序排列</w:t>
      </w:r>
      <w:r>
        <w:rPr>
          <w:rFonts w:hint="eastAsia" w:ascii="宋体" w:hAnsi="宋体"/>
          <w:szCs w:val="21"/>
          <w:highlight w:val="none"/>
        </w:rPr>
        <w:t xml:space="preserve">；</w:t>
      </w:r>
      <w:r>
        <w:rPr>
          <w:rFonts w:ascii="宋体" w:hAnsi="宋体"/>
          <w:szCs w:val="21"/>
          <w:highlight w:val="none"/>
        </w:rPr>
        <w:t xml:space="preserve">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和技术评分均相同的，</w:t>
      </w:r>
      <w:r>
        <w:rPr>
          <w:rFonts w:hint="eastAsia" w:ascii="宋体" w:hAnsi="宋体"/>
          <w:szCs w:val="21"/>
          <w:highlight w:val="none"/>
        </w:rPr>
        <w:t xml:space="preserve">则以</w:t>
      </w:r>
      <w:r>
        <w:rPr>
          <w:rFonts w:ascii="宋体" w:hAnsi="宋体"/>
          <w:szCs w:val="21"/>
          <w:highlight w:val="none"/>
        </w:rPr>
        <w:t xml:space="preserve">抽签决定</w:t>
      </w:r>
      <w:r>
        <w:rPr>
          <w:rFonts w:hint="eastAsia" w:ascii="宋体" w:hAnsi="宋体"/>
          <w:szCs w:val="21"/>
          <w:highlight w:val="none"/>
        </w:rPr>
        <w:t xml:space="preserve">中标人</w:t>
      </w:r>
      <w:r>
        <w:rPr>
          <w:rFonts w:ascii="宋体" w:hAnsi="宋体"/>
          <w:szCs w:val="21"/>
          <w:highlight w:val="none"/>
        </w:rPr>
        <w:t xml:space="preserve">。</w:t>
      </w:r>
      <w:r>
        <w:rPr>
          <w:rFonts w:ascii="宋体" w:hAnsi="宋体"/>
          <w:szCs w:val="21"/>
          <w:highlight w:val="none"/>
        </w:rPr>
      </w:r>
      <w:r/>
    </w:p>
    <w:p>
      <w:pPr>
        <w:pStyle w:val="922"/>
        <w:spacing w:line="360" w:lineRule="auto"/>
        <w:rPr>
          <w:rFonts w:ascii="宋体" w:hAnsi="宋体"/>
          <w:b/>
          <w:szCs w:val="21"/>
          <w:highlight w:val="none"/>
        </w:rPr>
      </w:pPr>
      <w:r>
        <w:rPr>
          <w:rFonts w:hint="eastAsia" w:ascii="宋体" w:hAnsi="宋体"/>
          <w:b/>
          <w:szCs w:val="21"/>
          <w:highlight w:val="none"/>
        </w:rPr>
        <w:t xml:space="preserve">二、采购政策</w:t>
      </w:r>
      <w:r>
        <w:rPr>
          <w:rFonts w:ascii="宋体" w:hAnsi="宋体"/>
          <w:b/>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（一）小、微企业</w:t>
      </w:r>
      <w:r>
        <w:rPr>
          <w:rFonts w:ascii="宋体" w:hAnsi="宋体"/>
          <w:szCs w:val="21"/>
          <w:highlight w:val="none"/>
        </w:rPr>
      </w:r>
      <w:r/>
    </w:p>
    <w:p>
      <w:pPr>
        <w:pStyle w:val="922"/>
        <w:ind w:firstLine="420"/>
        <w:spacing w:line="360" w:lineRule="auto"/>
        <w:rPr>
          <w:rFonts w:ascii="宋体" w:hAnsi="宋体"/>
          <w:szCs w:val="21"/>
          <w:highlight w:val="none"/>
        </w:rPr>
      </w:pPr>
      <w:r>
        <w:rPr>
          <w:rFonts w:ascii="宋体" w:hAnsi="宋体"/>
          <w:szCs w:val="21"/>
          <w:highlight w:val="none"/>
        </w:rPr>
        <w:t xml:space="preserve">根据《政府采购促进中小企业发展管理办法》（财库﹝2020﹞46 号）的</w:t>
      </w:r>
      <w:r>
        <w:rPr>
          <w:rFonts w:hint="eastAsia" w:ascii="宋体" w:hAnsi="宋体"/>
          <w:szCs w:val="21"/>
          <w:highlight w:val="none"/>
        </w:rPr>
        <w:t xml:space="preserve">相关规定，对属于小型、微型企业的供应商给予价格扣除：</w:t>
      </w:r>
      <w:r>
        <w:rPr>
          <w:rFonts w:ascii="宋体" w:hAnsi="宋体"/>
          <w:szCs w:val="21"/>
          <w:highlight w:val="none"/>
        </w:rPr>
      </w:r>
      <w:r/>
    </w:p>
    <w:p>
      <w:pPr>
        <w:pStyle w:val="922"/>
        <w:ind w:firstLine="420"/>
        <w:spacing w:line="360" w:lineRule="auto"/>
        <w:rPr>
          <w:rFonts w:ascii="宋体" w:hAnsi="宋体"/>
          <w:b/>
          <w:szCs w:val="21"/>
          <w:highlight w:val="none"/>
        </w:rPr>
      </w:pPr>
      <w:r>
        <w:rPr>
          <w:rFonts w:hint="eastAsia" w:ascii="宋体" w:hAnsi="宋体"/>
          <w:szCs w:val="21"/>
          <w:highlight w:val="none"/>
        </w:rPr>
        <w:t xml:space="preserve">如供应商认定本企业为小型或微型企业，则需根据《中小企业划型标准规定》（工信部联企业〔2011〕300号）填报《中小企业声明函》。</w:t>
      </w:r>
      <w:r>
        <w:rPr>
          <w:rFonts w:hint="eastAsia" w:ascii="宋体" w:hAnsi="宋体"/>
          <w:b/>
          <w:szCs w:val="21"/>
          <w:highlight w:val="none"/>
        </w:rPr>
        <w:t xml:space="preserve">加盖公章后的《中小企业声明函》电子件放置于响应文件一中提交，对其报价给予2</w:t>
      </w:r>
      <w:r>
        <w:rPr>
          <w:rFonts w:ascii="宋体" w:hAnsi="宋体"/>
          <w:b/>
          <w:szCs w:val="21"/>
          <w:highlight w:val="none"/>
        </w:rPr>
        <w:t xml:space="preserve">0</w:t>
      </w:r>
      <w:r>
        <w:rPr>
          <w:rFonts w:hint="eastAsia" w:ascii="宋体" w:hAnsi="宋体"/>
          <w:b/>
          <w:szCs w:val="21"/>
          <w:highlight w:val="none"/>
        </w:rPr>
        <w:t xml:space="preserve">%的扣除；扣除后的价格参与价格评审未提交则不享受相关小微企业价格扣除政策。</w:t>
      </w:r>
      <w:r>
        <w:rPr>
          <w:rFonts w:ascii="宋体" w:hAnsi="宋体"/>
          <w:b/>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（二）残疾人福利性单位</w:t>
      </w:r>
      <w:r>
        <w:rPr>
          <w:rFonts w:ascii="宋体" w:hAnsi="宋体"/>
          <w:szCs w:val="21"/>
          <w:highlight w:val="none"/>
        </w:rPr>
      </w:r>
      <w:r/>
    </w:p>
    <w:p>
      <w:pPr>
        <w:pStyle w:val="922"/>
        <w:ind w:firstLine="420"/>
        <w:spacing w:line="360" w:lineRule="auto"/>
        <w:rPr>
          <w:rFonts w:ascii="宋体" w:hAnsi="宋体"/>
          <w:szCs w:val="21"/>
          <w:highlight w:val="none"/>
        </w:rPr>
      </w:pPr>
      <w:r>
        <w:rPr>
          <w:rFonts w:ascii="宋体" w:hAnsi="宋体" w:cs="宋体"/>
          <w:szCs w:val="21"/>
          <w:highlight w:val="none"/>
        </w:rPr>
        <w:t xml:space="preserve">根据《三部门联合发布关于促进残疾人就业政府采购政策的通知》（财库〔2017〕141号）的相关规定</w:t>
      </w:r>
      <w:r>
        <w:rPr>
          <w:rFonts w:hint="eastAsia" w:ascii="宋体" w:hAnsi="宋体" w:cs="宋体"/>
          <w:szCs w:val="21"/>
          <w:highlight w:val="none"/>
        </w:rPr>
        <w:t xml:space="preserve">，</w:t>
      </w:r>
      <w:r>
        <w:rPr>
          <w:rFonts w:hint="eastAsia" w:ascii="宋体" w:hAnsi="宋体"/>
          <w:szCs w:val="21"/>
          <w:highlight w:val="none"/>
        </w:rPr>
        <w:t xml:space="preserve">对属于残疾人福利性单位的供应商给予价格扣除：</w:t>
      </w:r>
      <w:r>
        <w:rPr>
          <w:rFonts w:ascii="宋体" w:hAnsi="宋体"/>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如供应商为残疾人福利性单位，则视同小型企业，享受评审中价格扣除政策。残疾人福利性单位属于小型、微型企业的，不重复享受政策。</w:t>
      </w:r>
      <w:r>
        <w:rPr>
          <w:rFonts w:hint="eastAsia" w:ascii="宋体" w:hAnsi="宋体"/>
          <w:b/>
          <w:szCs w:val="21"/>
          <w:highlight w:val="none"/>
        </w:rPr>
        <w:t xml:space="preserve">加盖公章后的《残疾人福利性单位声明函》电子件放置于响应文件一中提交，未提交则不享受相关价格扣除政策。</w:t>
      </w:r>
      <w:r>
        <w:rPr>
          <w:rFonts w:ascii="宋体" w:hAnsi="宋体"/>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（三）监狱企业</w:t>
      </w:r>
      <w:r>
        <w:rPr>
          <w:rFonts w:ascii="宋体" w:hAnsi="宋体"/>
          <w:szCs w:val="21"/>
          <w:highlight w:val="none"/>
        </w:rPr>
      </w:r>
      <w:r/>
    </w:p>
    <w:p>
      <w:pPr>
        <w:pStyle w:val="922"/>
        <w:ind w:firstLine="420"/>
        <w:spacing w:line="360" w:lineRule="auto"/>
        <w:rPr>
          <w:rFonts w:ascii="宋体" w:hAnsi="宋体"/>
          <w:szCs w:val="21"/>
          <w:highlight w:val="none"/>
        </w:rPr>
      </w:pPr>
      <w:r>
        <w:rPr>
          <w:rFonts w:ascii="宋体" w:hAnsi="宋体" w:cs="宋体"/>
          <w:szCs w:val="21"/>
          <w:highlight w:val="none"/>
        </w:rPr>
        <w:t xml:space="preserve">根据《财政部司法部关于政府采购支持监狱企业发展有关问题的通知》（财库〔2014〕68号）的相关规定</w:t>
      </w:r>
      <w:r>
        <w:rPr>
          <w:rFonts w:hint="eastAsia" w:ascii="宋体" w:hAnsi="宋体" w:cs="宋体"/>
          <w:szCs w:val="21"/>
          <w:highlight w:val="none"/>
        </w:rPr>
        <w:t xml:space="preserve">，</w:t>
      </w:r>
      <w:r>
        <w:rPr>
          <w:rFonts w:hint="eastAsia" w:ascii="宋体" w:hAnsi="宋体"/>
          <w:szCs w:val="21"/>
          <w:highlight w:val="none"/>
        </w:rPr>
        <w:t xml:space="preserve">对属于监狱企业的供应商给予价格扣除：</w:t>
      </w:r>
      <w:r>
        <w:rPr>
          <w:rFonts w:ascii="宋体" w:hAnsi="宋体"/>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b/>
          <w:szCs w:val="21"/>
          <w:highlight w:val="none"/>
        </w:rPr>
        <w:t xml:space="preserve">证明文件电子件放置于响应文件一中提交，未提交则不享受相关价格扣除政策。</w:t>
      </w:r>
      <w:r>
        <w:rPr>
          <w:rFonts w:ascii="宋体" w:hAnsi="宋体"/>
          <w:szCs w:val="21"/>
          <w:highlight w:val="none"/>
        </w:rPr>
      </w:r>
      <w:r/>
    </w:p>
    <w:p>
      <w:pPr>
        <w:pStyle w:val="922"/>
        <w:ind w:firstLine="420"/>
        <w:spacing w:line="360" w:lineRule="auto"/>
        <w:rPr>
          <w:rFonts w:ascii="宋体" w:hAnsi="宋体"/>
          <w:color w:val="333333"/>
          <w:szCs w:val="21"/>
          <w:highlight w:val="none"/>
        </w:rPr>
      </w:pPr>
      <w:r>
        <w:rPr>
          <w:rFonts w:hint="eastAsia" w:ascii="宋体" w:hAnsi="宋体"/>
          <w:color w:val="333333"/>
          <w:szCs w:val="21"/>
          <w:highlight w:val="none"/>
        </w:rPr>
        <w:t xml:space="preserve">注：若供应商提供的《中小企业声明函》 、《残疾人福利性单位声明函》及监狱企业认定证明等材料为虚假材料，按《政府采购法》相关规定处理并报请政府采购监管部门给予行政处罚。</w:t>
      </w:r>
      <w:r>
        <w:rPr>
          <w:rFonts w:ascii="宋体" w:hAnsi="宋体"/>
          <w:color w:val="333333"/>
          <w:szCs w:val="21"/>
          <w:highlight w:val="none"/>
        </w:rPr>
      </w:r>
      <w:r/>
    </w:p>
    <w:p>
      <w:pPr>
        <w:pStyle w:val="922"/>
        <w:spacing w:line="360" w:lineRule="auto"/>
        <w:rPr>
          <w:rFonts w:ascii="宋体" w:hAnsi="宋体"/>
          <w:b/>
          <w:szCs w:val="21"/>
          <w:highlight w:val="none"/>
        </w:rPr>
      </w:pPr>
      <w:r>
        <w:rPr>
          <w:rFonts w:hint="eastAsia" w:ascii="宋体" w:hAnsi="宋体"/>
          <w:b/>
          <w:szCs w:val="21"/>
          <w:highlight w:val="none"/>
        </w:rPr>
        <w:t xml:space="preserve">三、评分标准</w:t>
      </w:r>
      <w:r>
        <w:rPr>
          <w:rFonts w:ascii="宋体" w:hAnsi="宋体"/>
          <w:b/>
          <w:szCs w:val="21"/>
          <w:highlight w:val="none"/>
        </w:rPr>
      </w:r>
      <w:r/>
    </w:p>
    <w:p>
      <w:pPr>
        <w:pStyle w:val="922"/>
        <w:spacing w:line="360" w:lineRule="auto"/>
        <w:rPr>
          <w:rFonts w:ascii="宋体" w:hAnsi="宋体"/>
          <w:b/>
          <w:szCs w:val="21"/>
          <w:highlight w:val="none"/>
        </w:rPr>
      </w:pPr>
      <w:r>
        <w:rPr>
          <w:rFonts w:hint="eastAsia" w:ascii="宋体" w:hAnsi="宋体"/>
          <w:b/>
          <w:szCs w:val="21"/>
          <w:highlight w:val="none"/>
        </w:rPr>
        <w:t xml:space="preserve">（一）价格（</w:t>
      </w:r>
      <w:r>
        <w:rPr>
          <w:rFonts w:ascii="宋体" w:hAnsi="宋体"/>
          <w:b/>
          <w:szCs w:val="21"/>
          <w:highlight w:val="none"/>
        </w:rPr>
        <w:t xml:space="preserve">10</w:t>
      </w:r>
      <w:r>
        <w:rPr>
          <w:rFonts w:hint="eastAsia" w:ascii="宋体" w:hAnsi="宋体"/>
          <w:b/>
          <w:szCs w:val="21"/>
          <w:highlight w:val="none"/>
        </w:rPr>
        <w:t xml:space="preserve">分）</w:t>
      </w:r>
      <w:r>
        <w:rPr>
          <w:rFonts w:ascii="宋体" w:hAnsi="宋体"/>
          <w:b/>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投标</w:t>
      </w:r>
      <w:r>
        <w:rPr>
          <w:rFonts w:hint="eastAsia" w:ascii="宋体" w:hAnsi="宋体"/>
          <w:szCs w:val="21"/>
          <w:highlight w:val="none"/>
        </w:rPr>
        <w:t xml:space="preserve">总</w:t>
      </w:r>
      <w:r>
        <w:rPr>
          <w:rFonts w:ascii="宋体" w:hAnsi="宋体"/>
          <w:szCs w:val="21"/>
          <w:highlight w:val="none"/>
        </w:rPr>
        <w:t xml:space="preserve">报价低于或等于财政预算价格的，为有效投标报价。超财政预算的投标报价为无效投标报价。无效投标报价的投标文件不进行评审，也不得</w:t>
      </w:r>
      <w:r>
        <w:rPr>
          <w:rFonts w:hint="eastAsia" w:ascii="宋体" w:hAnsi="宋体"/>
          <w:szCs w:val="21"/>
          <w:highlight w:val="none"/>
        </w:rPr>
        <w:t xml:space="preserve">中</w:t>
      </w:r>
      <w:r>
        <w:rPr>
          <w:rFonts w:ascii="宋体" w:hAnsi="宋体"/>
          <w:szCs w:val="21"/>
          <w:highlight w:val="none"/>
        </w:rPr>
        <w:t xml:space="preserve">标。</w:t>
      </w:r>
      <w:r>
        <w:rPr>
          <w:rFonts w:ascii="宋体" w:hAnsi="宋体"/>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highlight w:val="none"/>
        </w:rPr>
        <w:t xml:space="preserve">（如构成未实质性响应招标文件要求的，将不得中标）</w:t>
      </w:r>
      <w:r>
        <w:rPr>
          <w:rFonts w:hint="eastAsia" w:ascii="宋体" w:hAnsi="宋体"/>
          <w:szCs w:val="21"/>
          <w:highlight w:val="none"/>
        </w:rPr>
        <w:t xml:space="preserve">。</w:t>
      </w:r>
      <w:r>
        <w:rPr>
          <w:rFonts w:ascii="宋体" w:hAnsi="宋体"/>
          <w:szCs w:val="21"/>
          <w:highlight w:val="none"/>
        </w:rPr>
      </w:r>
      <w:r/>
    </w:p>
    <w:p>
      <w:pPr>
        <w:pStyle w:val="922"/>
        <w:ind w:firstLine="420"/>
        <w:spacing w:line="360" w:lineRule="auto"/>
        <w:rPr>
          <w:rFonts w:ascii="宋体" w:hAnsi="宋体"/>
          <w:szCs w:val="21"/>
          <w:highlight w:val="none"/>
        </w:rPr>
      </w:pPr>
      <w:r>
        <w:rPr>
          <w:rFonts w:hint="eastAsia" w:ascii="宋体" w:hAnsi="宋体"/>
          <w:szCs w:val="21"/>
          <w:highlight w:val="none"/>
        </w:rPr>
        <w:t xml:space="preserve">3.价格分采用低价优先法计算，即满足招标文件要求且投标价格最低的投标报价为评标基准价，其价格分为满分</w:t>
      </w:r>
      <w:r>
        <w:rPr>
          <w:rFonts w:ascii="宋体" w:hAnsi="宋体"/>
          <w:szCs w:val="21"/>
          <w:highlight w:val="none"/>
        </w:rPr>
        <w:t xml:space="preserve">10</w:t>
      </w:r>
      <w:r>
        <w:rPr>
          <w:rFonts w:hint="eastAsia" w:ascii="宋体" w:hAnsi="宋体"/>
          <w:szCs w:val="21"/>
          <w:highlight w:val="none"/>
        </w:rPr>
        <w:t xml:space="preserve">分。其他投标人的价格分统一按照下列公式计算：</w:t>
      </w:r>
      <w:r>
        <w:rPr>
          <w:rFonts w:ascii="宋体" w:hAnsi="宋体"/>
          <w:szCs w:val="21"/>
          <w:highlight w:val="none"/>
        </w:rPr>
      </w:r>
      <w:r/>
    </w:p>
    <w:p>
      <w:pPr>
        <w:pStyle w:val="922"/>
        <w:ind w:firstLine="420"/>
        <w:spacing w:line="360" w:lineRule="auto"/>
        <w:tabs>
          <w:tab w:val="left" w:pos="960" w:leader="none"/>
        </w:tabs>
        <w:rPr>
          <w:rFonts w:ascii="宋体" w:hAnsi="宋体"/>
          <w:szCs w:val="21"/>
          <w:highlight w:val="none"/>
        </w:rPr>
      </w:pPr>
      <w:r>
        <w:rPr>
          <w:rFonts w:hint="eastAsia" w:ascii="宋体" w:hAnsi="宋体"/>
          <w:szCs w:val="21"/>
          <w:highlight w:val="none"/>
        </w:rPr>
        <w:t xml:space="preserve">投标报价得分=（评标基准价/投标报价）*价格权重*100，小数点后保留两位</w:t>
      </w:r>
      <w:r>
        <w:rPr>
          <w:rFonts w:ascii="宋体" w:hAnsi="宋体"/>
          <w:szCs w:val="21"/>
          <w:highlight w:val="none"/>
        </w:rPr>
        <w:t xml:space="preserve">。</w:t>
      </w:r>
      <w:r>
        <w:rPr>
          <w:rFonts w:ascii="宋体" w:hAnsi="宋体"/>
          <w:szCs w:val="21"/>
          <w:highlight w:val="none"/>
        </w:rPr>
      </w:r>
      <w:r/>
    </w:p>
    <w:p>
      <w:pPr>
        <w:pStyle w:val="922"/>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(二)技术及其它（90分）：</w:t>
      </w:r>
      <w:r>
        <w:rPr>
          <w:rFonts w:ascii="宋体" w:hAnsi="宋体"/>
          <w:b/>
          <w:color w:val="000000"/>
          <w:szCs w:val="21"/>
          <w:highlight w:val="none"/>
        </w:rPr>
      </w:r>
      <w:r/>
    </w:p>
    <w:p>
      <w:pPr>
        <w:pStyle w:val="922"/>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初审评审指标 </w:t>
      </w:r>
      <w:bookmarkStart w:id="59" w:name="gpc_pack_1_name_1"/>
      <w:r/>
      <w:bookmarkEnd w:id="59"/>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240"/>
        </w:trPr>
        <w:tc>
          <w:tcPr>
            <w:tcW w:w="687" w:type="dxa"/>
            <w:vAlign w:val="center"/>
            <w:textDirection w:val="lrTb"/>
            <w:noWrap w:val="false"/>
          </w:tcPr>
          <w:p>
            <w:pPr>
              <w:pStyle w:val="922"/>
              <w:jc w:val="center"/>
              <w:rPr>
                <w:rFonts w:ascii="宋体" w:hAnsi="宋体"/>
                <w:color w:val="000000"/>
                <w:szCs w:val="21"/>
                <w:highlight w:val="none"/>
              </w:rPr>
            </w:pPr>
            <w:r/>
            <w:bookmarkStart w:id="60" w:name="gpc_accord_horizontal_1"/>
            <w:r/>
            <w:bookmarkStart w:id="61" w:name="gpc_accord_horizontal_4"/>
            <w:r/>
            <w:bookmarkStart w:id="62" w:name="gpc_accord_horizontal_2"/>
            <w:r/>
            <w:bookmarkStart w:id="63" w:name="gpc_accord_horizontal_3"/>
            <w:r>
              <w:rPr>
                <w:rFonts w:hint="eastAsia" w:ascii="宋体" w:hAnsi="宋体"/>
                <w:color w:val="000000"/>
                <w:szCs w:val="21"/>
                <w:highlight w:val="none"/>
              </w:rPr>
              <w:t xml:space="preserve">指标</w:t>
            </w:r>
            <w:r>
              <w:rPr>
                <w:rFonts w:ascii="宋体" w:hAnsi="宋体"/>
                <w:color w:val="000000"/>
                <w:szCs w:val="21"/>
                <w:highlight w:val="none"/>
              </w:rPr>
            </w:r>
            <w:r/>
          </w:p>
        </w:tc>
        <w:tc>
          <w:tcPr>
            <w:tcW w:w="2817"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描述</w:t>
            </w:r>
            <w:r>
              <w:rPr>
                <w:rFonts w:ascii="宋体" w:hAnsi="宋体"/>
                <w:color w:val="000000"/>
                <w:szCs w:val="21"/>
                <w:highlight w:val="none"/>
              </w:rPr>
            </w:r>
            <w:r/>
          </w:p>
        </w:tc>
        <w:tc>
          <w:tcPr>
            <w:tcW w:w="149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是否合格</w:t>
            </w:r>
            <w:r>
              <w:rPr>
                <w:rFonts w:ascii="宋体" w:hAnsi="宋体"/>
                <w:color w:val="000000"/>
                <w:szCs w:val="21"/>
                <w:highlight w:val="none"/>
              </w:rPr>
            </w:r>
            <w:r/>
          </w:p>
        </w:tc>
      </w:tr>
      <w:tr>
        <w:trPr>
          <w:trHeight w:val="438"/>
        </w:trPr>
        <w:tc>
          <w:tcPr>
            <w:tcW w:w="687"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资格性检查</w:t>
            </w:r>
            <w:r>
              <w:rPr>
                <w:rFonts w:ascii="宋体" w:hAnsi="宋体"/>
                <w:color w:val="000000"/>
                <w:szCs w:val="21"/>
                <w:highlight w:val="none"/>
              </w:rPr>
            </w:r>
            <w:r/>
          </w:p>
        </w:tc>
        <w:tc>
          <w:tcPr>
            <w:tcW w:w="2817" w:type="dxa"/>
            <w:vAlign w:val="center"/>
            <w:textDirection w:val="lrTb"/>
            <w:noWrap w:val="false"/>
          </w:tcPr>
          <w:p>
            <w:pPr>
              <w:pStyle w:val="922"/>
              <w:jc w:val="center"/>
              <w:rPr>
                <w:color w:val="000000"/>
                <w:szCs w:val="21"/>
                <w:highlight w:val="none"/>
              </w:rPr>
            </w:pPr>
            <w:r>
              <w:rPr>
                <w:rFonts w:hint="eastAsia"/>
                <w:color w:val="000000"/>
                <w:szCs w:val="21"/>
                <w:highlight w:val="none"/>
              </w:rPr>
              <w:t xml:space="preserve">详见第一章投标邀请函投标人资质要求</w:t>
            </w:r>
            <w:r>
              <w:rPr>
                <w:color w:val="000000"/>
                <w:szCs w:val="21"/>
                <w:highlight w:val="none"/>
              </w:rPr>
            </w:r>
            <w:r/>
          </w:p>
        </w:tc>
        <w:tc>
          <w:tcPr>
            <w:tcW w:w="1496" w:type="dxa"/>
            <w:vAlign w:val="center"/>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r>
        <w:trPr>
          <w:trHeight w:val="438"/>
        </w:trPr>
        <w:tc>
          <w:tcPr>
            <w:tcW w:w="687"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符合性检查</w:t>
            </w:r>
            <w:r>
              <w:rPr>
                <w:rFonts w:ascii="宋体" w:hAnsi="宋体"/>
                <w:color w:val="000000"/>
                <w:szCs w:val="21"/>
                <w:highlight w:val="none"/>
              </w:rPr>
            </w:r>
            <w:r/>
          </w:p>
        </w:tc>
        <w:tc>
          <w:tcPr>
            <w:tcW w:w="2817"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工期（服务期）、响应时间、质保期（如有）、付款方式、投标内容</w:t>
            </w:r>
            <w:r>
              <w:rPr>
                <w:rFonts w:ascii="宋体" w:hAnsi="宋体"/>
                <w:color w:val="000000"/>
                <w:szCs w:val="21"/>
                <w:highlight w:val="none"/>
              </w:rPr>
            </w:r>
            <w:r/>
          </w:p>
        </w:tc>
        <w:tc>
          <w:tcPr>
            <w:tcW w:w="1496" w:type="dxa"/>
            <w:vAlign w:val="center"/>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bl>
    <w:p>
      <w:pPr>
        <w:pStyle w:val="922"/>
        <w:ind w:left="360"/>
        <w:spacing w:line="360" w:lineRule="auto"/>
        <w:rPr>
          <w:rFonts w:hint="eastAsia" w:ascii="宋体" w:hAnsi="宋体"/>
          <w:b/>
          <w:color w:val="000000"/>
          <w:sz w:val="24"/>
          <w:highlight w:val="none"/>
        </w:rPr>
      </w:pPr>
      <w:r/>
      <w:bookmarkEnd w:id="60"/>
      <w:r/>
      <w:bookmarkEnd w:id="61"/>
      <w:r/>
      <w:bookmarkEnd w:id="62"/>
      <w:r/>
      <w:bookmarkEnd w:id="63"/>
      <w:r>
        <w:rPr>
          <w:rFonts w:hint="eastAsia" w:ascii="宋体" w:hAnsi="宋体"/>
          <w:b/>
          <w:color w:val="000000"/>
          <w:sz w:val="24"/>
          <w:highlight w:val="none"/>
        </w:rPr>
        <w:t xml:space="preserve">复审评审指标</w:t>
      </w:r>
      <w:r>
        <w:rPr>
          <w:rFonts w:hint="eastAsia"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700"/>
        <w:gridCol w:w="5673"/>
        <w:gridCol w:w="673"/>
      </w:tblGrid>
      <w:tr>
        <w:trPr>
          <w:trHeight w:val="635"/>
        </w:trPr>
        <w:tc>
          <w:tcPr>
            <w:tcW w:w="668" w:type="dxa"/>
            <w:vAlign w:val="center"/>
            <w:textDirection w:val="lrTb"/>
            <w:noWrap w:val="false"/>
          </w:tcPr>
          <w:p>
            <w:pPr>
              <w:pStyle w:val="922"/>
              <w:jc w:val="center"/>
              <w:widowControl/>
              <w:rPr>
                <w:highlight w:val="none"/>
              </w:rPr>
            </w:pPr>
            <w:r/>
            <w:bookmarkStart w:id="64" w:name="gpc_score_horizontal_1"/>
            <w:r>
              <w:rPr>
                <w:rFonts w:hint="eastAsia"/>
                <w:highlight w:val="none"/>
              </w:rPr>
              <w:t xml:space="preserve">评审类别</w:t>
            </w: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评审项</w:t>
            </w:r>
            <w:r>
              <w:rPr>
                <w:highlight w:val="none"/>
              </w:rPr>
            </w:r>
            <w:r/>
          </w:p>
        </w:tc>
        <w:tc>
          <w:tcPr>
            <w:tcW w:w="3053" w:type="dxa"/>
            <w:vAlign w:val="center"/>
            <w:textDirection w:val="lrTb"/>
            <w:noWrap w:val="false"/>
          </w:tcPr>
          <w:p>
            <w:pPr>
              <w:pStyle w:val="922"/>
              <w:jc w:val="center"/>
              <w:widowControl/>
              <w:rPr>
                <w:highlight w:val="none"/>
              </w:rPr>
            </w:pPr>
            <w:r>
              <w:rPr>
                <w:rFonts w:hint="eastAsia"/>
                <w:highlight w:val="none"/>
              </w:rPr>
              <w:t xml:space="preserve">评审规则</w:t>
            </w:r>
            <w:r>
              <w:rPr>
                <w:highlight w:val="none"/>
              </w:rPr>
            </w:r>
            <w:r/>
          </w:p>
        </w:tc>
        <w:tc>
          <w:tcPr>
            <w:tcW w:w="362" w:type="dxa"/>
            <w:vAlign w:val="center"/>
            <w:textDirection w:val="lrTb"/>
            <w:noWrap w:val="false"/>
          </w:tcPr>
          <w:p>
            <w:pPr>
              <w:pStyle w:val="922"/>
              <w:jc w:val="center"/>
              <w:widowControl/>
              <w:rPr>
                <w:highlight w:val="none"/>
              </w:rPr>
            </w:pPr>
            <w:r>
              <w:rPr>
                <w:rFonts w:hint="eastAsia"/>
                <w:highlight w:val="none"/>
              </w:rPr>
              <w:t xml:space="preserve">分值</w:t>
            </w:r>
            <w:r>
              <w:rPr>
                <w:highlight w:val="none"/>
              </w:rPr>
            </w:r>
            <w:r/>
          </w:p>
        </w:tc>
      </w:tr>
      <w:tr>
        <w:trPr>
          <w:trHeight w:val="90"/>
        </w:trPr>
        <w:tc>
          <w:tcPr>
            <w:tcW w:w="668" w:type="dxa"/>
            <w:vAlign w:val="center"/>
            <w:vMerge w:val="restart"/>
            <w:textDirection w:val="lrTb"/>
            <w:noWrap w:val="false"/>
          </w:tcPr>
          <w:p>
            <w:pPr>
              <w:pStyle w:val="922"/>
              <w:jc w:val="center"/>
              <w:rPr>
                <w:highlight w:val="none"/>
              </w:rPr>
            </w:pPr>
            <w:r>
              <w:rPr>
                <w:rFonts w:hint="eastAsia"/>
                <w:highlight w:val="none"/>
              </w:rPr>
              <w:t xml:space="preserve">技术部分</w:t>
            </w: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项目总体计划</w:t>
            </w:r>
            <w:r>
              <w:rPr>
                <w:highlight w:val="none"/>
              </w:rPr>
            </w:r>
            <w:r/>
          </w:p>
        </w:tc>
        <w:tc>
          <w:tcPr>
            <w:tcW w:w="3053" w:type="dxa"/>
            <w:vAlign w:val="center"/>
            <w:textDirection w:val="lrTb"/>
            <w:noWrap w:val="false"/>
          </w:tcPr>
          <w:p>
            <w:pPr>
              <w:pStyle w:val="922"/>
              <w:rPr>
                <w:highlight w:val="none"/>
              </w:rPr>
            </w:pPr>
            <w:r>
              <w:rPr>
                <w:rFonts w:hint="eastAsia"/>
                <w:highlight w:val="none"/>
              </w:rPr>
              <w:t xml:space="preserve">1.针对本项目的整体分析并建立总体的管理模式进行评审，最高得5分；</w:t>
            </w:r>
            <w:r>
              <w:rPr>
                <w:highlight w:val="none"/>
              </w:rPr>
            </w:r>
            <w:r/>
          </w:p>
          <w:p>
            <w:pPr>
              <w:pStyle w:val="922"/>
              <w:rPr>
                <w:highlight w:val="none"/>
              </w:rPr>
            </w:pPr>
            <w:r>
              <w:rPr>
                <w:rFonts w:hint="eastAsia"/>
                <w:highlight w:val="none"/>
              </w:rPr>
              <w:t xml:space="preserve">2.管理模式贴合项目内容进行评审，最高得5分；</w:t>
            </w:r>
            <w:r>
              <w:rPr>
                <w:highlight w:val="none"/>
              </w:rPr>
            </w:r>
            <w:r/>
          </w:p>
          <w:p>
            <w:pPr>
              <w:pStyle w:val="922"/>
              <w:rPr>
                <w:highlight w:val="none"/>
              </w:rPr>
            </w:pPr>
            <w:r>
              <w:rPr>
                <w:rFonts w:hint="eastAsia"/>
                <w:highlight w:val="none"/>
              </w:rPr>
              <w:t xml:space="preserve">（以上每项方案需贴合项目，不提供不得分）</w:t>
            </w:r>
            <w:r>
              <w:rPr>
                <w:highlight w:val="none"/>
              </w:rPr>
            </w:r>
            <w:r/>
          </w:p>
        </w:tc>
        <w:tc>
          <w:tcPr>
            <w:tcW w:w="362" w:type="dxa"/>
            <w:vAlign w:val="center"/>
            <w:textDirection w:val="lrTb"/>
            <w:noWrap w:val="false"/>
          </w:tcPr>
          <w:p>
            <w:pPr>
              <w:pStyle w:val="922"/>
              <w:jc w:val="center"/>
              <w:rPr>
                <w:rFonts w:hint="eastAsia"/>
                <w:highlight w:val="none"/>
              </w:rPr>
            </w:pPr>
            <w:r>
              <w:rPr>
                <w:rFonts w:hint="eastAsia"/>
                <w:highlight w:val="none"/>
              </w:rPr>
              <w:t xml:space="preserve">10</w:t>
            </w:r>
            <w:r>
              <w:rPr>
                <w:rFonts w:hint="eastAsia"/>
                <w:highlight w:val="none"/>
              </w:rPr>
            </w:r>
            <w:r/>
          </w:p>
        </w:tc>
      </w:tr>
      <w:tr>
        <w:trPr>
          <w:trHeight w:val="1625"/>
        </w:trPr>
        <w:tc>
          <w:tcPr>
            <w:tcW w:w="668" w:type="dxa"/>
            <w:vAlign w:val="center"/>
            <w:vMerge w:val="continue"/>
            <w:textDirection w:val="lrTb"/>
            <w:noWrap w:val="false"/>
          </w:tcPr>
          <w:p>
            <w:pPr>
              <w:pStyle w:val="922"/>
              <w:jc w:val="center"/>
              <w:rPr>
                <w:highlight w:val="none"/>
              </w:rPr>
            </w:pP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实施方案</w:t>
            </w:r>
            <w:r>
              <w:rPr>
                <w:highlight w:val="none"/>
              </w:rPr>
            </w:r>
            <w:r/>
          </w:p>
        </w:tc>
        <w:tc>
          <w:tcPr>
            <w:tcW w:w="3053" w:type="dxa"/>
            <w:vAlign w:val="center"/>
            <w:textDirection w:val="lrTb"/>
            <w:noWrap w:val="false"/>
          </w:tcPr>
          <w:p>
            <w:pPr>
              <w:pStyle w:val="922"/>
              <w:rPr>
                <w:highlight w:val="none"/>
              </w:rPr>
            </w:pPr>
            <w:r>
              <w:rPr>
                <w:rFonts w:hint="eastAsia"/>
                <w:highlight w:val="none"/>
              </w:rPr>
              <w:t xml:space="preserve">针对本项目有完善细致的实施方案进行评审：</w:t>
            </w:r>
            <w:r>
              <w:rPr>
                <w:highlight w:val="none"/>
              </w:rPr>
            </w:r>
            <w:r/>
          </w:p>
          <w:p>
            <w:pPr>
              <w:pStyle w:val="922"/>
              <w:rPr>
                <w:highlight w:val="none"/>
              </w:rPr>
            </w:pPr>
            <w:r>
              <w:rPr>
                <w:rFonts w:hint="eastAsia"/>
                <w:highlight w:val="none"/>
              </w:rPr>
              <w:t xml:space="preserve">1</w:t>
            </w:r>
            <w:r>
              <w:rPr>
                <w:rFonts w:hint="eastAsia"/>
                <w:highlight w:val="none"/>
                <w:lang w:val="en-US" w:eastAsia="zh-CN"/>
              </w:rPr>
              <w:t xml:space="preserve">.</w:t>
            </w:r>
            <w:r>
              <w:rPr>
                <w:rFonts w:hint="eastAsia"/>
                <w:highlight w:val="none"/>
              </w:rPr>
              <w:t xml:space="preserve">集体用餐管理系统、服务计划、总体监控方案，最高3分；</w:t>
            </w:r>
            <w:r>
              <w:rPr>
                <w:highlight w:val="none"/>
              </w:rPr>
            </w:r>
            <w:r/>
          </w:p>
          <w:p>
            <w:pPr>
              <w:pStyle w:val="922"/>
              <w:rPr>
                <w:highlight w:val="none"/>
              </w:rPr>
            </w:pPr>
            <w:r>
              <w:rPr>
                <w:rFonts w:hint="eastAsia"/>
                <w:highlight w:val="none"/>
              </w:rPr>
              <w:t xml:space="preserve">2</w:t>
            </w:r>
            <w:r>
              <w:rPr>
                <w:rFonts w:hint="eastAsia"/>
                <w:highlight w:val="none"/>
                <w:lang w:val="en-US" w:eastAsia="zh-CN"/>
              </w:rPr>
              <w:t xml:space="preserve">.</w:t>
            </w:r>
            <w:r>
              <w:rPr>
                <w:rFonts w:hint="eastAsia"/>
                <w:highlight w:val="none"/>
              </w:rPr>
              <w:t xml:space="preserve">服务水平及质量控制方案，最高3分；</w:t>
            </w:r>
            <w:r>
              <w:rPr>
                <w:highlight w:val="none"/>
              </w:rPr>
            </w:r>
            <w:r/>
          </w:p>
          <w:p>
            <w:pPr>
              <w:pStyle w:val="922"/>
              <w:rPr>
                <w:highlight w:val="none"/>
              </w:rPr>
            </w:pPr>
            <w:r>
              <w:rPr>
                <w:rFonts w:hint="eastAsia"/>
                <w:highlight w:val="none"/>
              </w:rPr>
              <w:t xml:space="preserve">3</w:t>
            </w:r>
            <w:r>
              <w:rPr>
                <w:rFonts w:hint="eastAsia"/>
                <w:highlight w:val="none"/>
                <w:lang w:val="en-US" w:eastAsia="zh-CN"/>
              </w:rPr>
              <w:t xml:space="preserve">.</w:t>
            </w:r>
            <w:r>
              <w:rPr>
                <w:rFonts w:hint="eastAsia"/>
                <w:highlight w:val="none"/>
              </w:rPr>
              <w:t xml:space="preserve">有卫生管理方案，最高3分；</w:t>
            </w:r>
            <w:r>
              <w:rPr>
                <w:highlight w:val="none"/>
              </w:rPr>
            </w:r>
            <w:r/>
          </w:p>
          <w:p>
            <w:pPr>
              <w:pStyle w:val="922"/>
              <w:rPr>
                <w:highlight w:val="none"/>
              </w:rPr>
            </w:pPr>
            <w:r>
              <w:rPr>
                <w:rFonts w:hint="eastAsia"/>
                <w:highlight w:val="none"/>
              </w:rPr>
              <w:t xml:space="preserve">4</w:t>
            </w:r>
            <w:r>
              <w:rPr>
                <w:rFonts w:hint="eastAsia"/>
                <w:highlight w:val="none"/>
                <w:lang w:val="en-US" w:eastAsia="zh-CN"/>
              </w:rPr>
              <w:t xml:space="preserve">.</w:t>
            </w:r>
            <w:r>
              <w:rPr>
                <w:rFonts w:hint="eastAsia"/>
                <w:highlight w:val="none"/>
              </w:rPr>
              <w:t xml:space="preserve">食品质量控制方案，最高3分；</w:t>
            </w:r>
            <w:r>
              <w:rPr>
                <w:highlight w:val="none"/>
              </w:rPr>
            </w:r>
            <w:r/>
          </w:p>
          <w:p>
            <w:pPr>
              <w:pStyle w:val="922"/>
              <w:rPr>
                <w:highlight w:val="none"/>
              </w:rPr>
            </w:pPr>
            <w:r>
              <w:rPr>
                <w:rFonts w:hint="eastAsia"/>
                <w:highlight w:val="none"/>
              </w:rPr>
              <w:t xml:space="preserve">5</w:t>
            </w:r>
            <w:r>
              <w:rPr>
                <w:rFonts w:hint="eastAsia"/>
                <w:highlight w:val="none"/>
                <w:lang w:val="en-US" w:eastAsia="zh-CN"/>
              </w:rPr>
              <w:t xml:space="preserve">.</w:t>
            </w:r>
            <w:r>
              <w:rPr>
                <w:rFonts w:hint="eastAsia" w:ascii="宋体" w:hAnsi="宋体" w:cs="宋体"/>
                <w:szCs w:val="21"/>
                <w:highlight w:val="none"/>
              </w:rPr>
              <w:t xml:space="preserve">运输保障方案，得3分</w:t>
            </w:r>
            <w:r>
              <w:rPr>
                <w:rFonts w:hint="eastAsia"/>
                <w:highlight w:val="none"/>
              </w:rPr>
              <w:t xml:space="preserve">。</w:t>
            </w:r>
            <w:r>
              <w:rPr>
                <w:highlight w:val="none"/>
              </w:rPr>
            </w:r>
            <w:r/>
          </w:p>
          <w:p>
            <w:pPr>
              <w:pStyle w:val="922"/>
              <w:rPr>
                <w:highlight w:val="none"/>
              </w:rPr>
            </w:pPr>
            <w:r>
              <w:rPr>
                <w:rFonts w:hint="eastAsia"/>
                <w:highlight w:val="none"/>
              </w:rPr>
              <w:t xml:space="preserve">（以上每项方案需贴合项目，不提供不得分）</w:t>
            </w:r>
            <w:r>
              <w:rPr>
                <w:highlight w:val="none"/>
              </w:rPr>
            </w:r>
            <w:r/>
          </w:p>
        </w:tc>
        <w:tc>
          <w:tcPr>
            <w:tcW w:w="362" w:type="dxa"/>
            <w:vAlign w:val="center"/>
            <w:textDirection w:val="lrTb"/>
            <w:noWrap w:val="false"/>
          </w:tcPr>
          <w:p>
            <w:pPr>
              <w:pStyle w:val="922"/>
              <w:jc w:val="center"/>
              <w:rPr>
                <w:rFonts w:hint="eastAsia"/>
                <w:highlight w:val="none"/>
              </w:rPr>
            </w:pPr>
            <w:r>
              <w:rPr>
                <w:rFonts w:hint="eastAsia"/>
                <w:highlight w:val="none"/>
              </w:rPr>
              <w:t xml:space="preserve">15</w:t>
            </w:r>
            <w:r>
              <w:rPr>
                <w:rFonts w:hint="eastAsia"/>
                <w:highlight w:val="none"/>
              </w:rPr>
            </w:r>
            <w:r/>
          </w:p>
        </w:tc>
      </w:tr>
      <w:tr>
        <w:trPr>
          <w:trHeight w:val="1031"/>
        </w:trPr>
        <w:tc>
          <w:tcPr>
            <w:tcW w:w="668" w:type="dxa"/>
            <w:vAlign w:val="center"/>
            <w:vMerge w:val="continue"/>
            <w:textDirection w:val="lrTb"/>
            <w:noWrap w:val="false"/>
          </w:tcPr>
          <w:p>
            <w:pPr>
              <w:pStyle w:val="922"/>
              <w:jc w:val="center"/>
              <w:rPr>
                <w:highlight w:val="none"/>
              </w:rPr>
            </w:pPr>
            <w:r>
              <w:rPr>
                <w:highlight w:val="none"/>
              </w:rPr>
            </w:r>
            <w:r/>
          </w:p>
        </w:tc>
        <w:tc>
          <w:tcPr>
            <w:tcW w:w="915" w:type="dxa"/>
            <w:vAlign w:val="center"/>
            <w:textDirection w:val="lrTb"/>
            <w:noWrap w:val="false"/>
          </w:tcPr>
          <w:p>
            <w:pPr>
              <w:pStyle w:val="922"/>
              <w:jc w:val="center"/>
              <w:rPr>
                <w:highlight w:val="none"/>
              </w:rPr>
            </w:pPr>
            <w:r>
              <w:rPr>
                <w:rFonts w:hint="eastAsia"/>
                <w:highlight w:val="none"/>
              </w:rPr>
              <w:t xml:space="preserve">食材及辅料的品牌及采购来源</w:t>
            </w:r>
            <w:r>
              <w:rPr>
                <w:highlight w:val="none"/>
              </w:rPr>
            </w:r>
            <w:r/>
          </w:p>
        </w:tc>
        <w:tc>
          <w:tcPr>
            <w:tcW w:w="3053" w:type="dxa"/>
            <w:vAlign w:val="center"/>
            <w:textDirection w:val="lrTb"/>
            <w:noWrap w:val="false"/>
          </w:tcPr>
          <w:p>
            <w:pPr>
              <w:pStyle w:val="922"/>
              <w:rPr>
                <w:highlight w:val="none"/>
              </w:rPr>
            </w:pPr>
            <w:r>
              <w:rPr>
                <w:rFonts w:hint="eastAsia"/>
                <w:highlight w:val="none"/>
              </w:rPr>
              <w:t xml:space="preserve">提供投标人所投食材及辅料的品牌及采购来源情况，食材及辅料的品牌、全部来源渠道可追根溯源的最高得5分，否则不得分。</w:t>
            </w:r>
            <w:r>
              <w:rPr>
                <w:highlight w:val="none"/>
              </w:rPr>
            </w:r>
            <w:r/>
          </w:p>
        </w:tc>
        <w:tc>
          <w:tcPr>
            <w:tcW w:w="362" w:type="dxa"/>
            <w:vAlign w:val="center"/>
            <w:textDirection w:val="lrTb"/>
            <w:noWrap w:val="false"/>
          </w:tcPr>
          <w:p>
            <w:pPr>
              <w:pStyle w:val="922"/>
              <w:jc w:val="center"/>
              <w:rPr>
                <w:rFonts w:hint="eastAsia"/>
                <w:highlight w:val="none"/>
              </w:rPr>
            </w:pPr>
            <w:r>
              <w:rPr>
                <w:rFonts w:hint="eastAsia"/>
                <w:highlight w:val="none"/>
              </w:rPr>
              <w:t xml:space="preserve">5</w:t>
            </w:r>
            <w:r>
              <w:rPr>
                <w:rFonts w:hint="eastAsia"/>
                <w:highlight w:val="none"/>
              </w:rPr>
            </w:r>
            <w:r/>
          </w:p>
        </w:tc>
      </w:tr>
      <w:tr>
        <w:trPr>
          <w:trHeight w:val="1776"/>
        </w:trPr>
        <w:tc>
          <w:tcPr>
            <w:tcW w:w="668" w:type="dxa"/>
            <w:vAlign w:val="center"/>
            <w:vMerge w:val="continue"/>
            <w:textDirection w:val="lrTb"/>
            <w:noWrap w:val="false"/>
          </w:tcPr>
          <w:p>
            <w:pPr>
              <w:pStyle w:val="922"/>
              <w:jc w:val="center"/>
              <w:rPr>
                <w:highlight w:val="none"/>
              </w:rPr>
            </w:pP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食品安全制度</w:t>
            </w:r>
            <w:r>
              <w:rPr>
                <w:highlight w:val="none"/>
              </w:rPr>
            </w:r>
            <w:r/>
          </w:p>
        </w:tc>
        <w:tc>
          <w:tcPr>
            <w:tcW w:w="3053" w:type="dxa"/>
            <w:vAlign w:val="center"/>
            <w:textDirection w:val="lrTb"/>
            <w:noWrap w:val="false"/>
          </w:tcPr>
          <w:p>
            <w:pPr>
              <w:pStyle w:val="922"/>
              <w:rPr>
                <w:highlight w:val="none"/>
              </w:rPr>
            </w:pPr>
            <w:r>
              <w:rPr>
                <w:rFonts w:hint="eastAsia"/>
                <w:highlight w:val="none"/>
              </w:rPr>
              <w:t xml:space="preserve">针对本项目建立健全食品安全管理制度，明确食品安全责任，落实岗位责任制。主要包括且不限于以下制度：</w:t>
            </w:r>
            <w:r>
              <w:rPr>
                <w:highlight w:val="none"/>
              </w:rPr>
            </w:r>
            <w:r/>
          </w:p>
          <w:p>
            <w:pPr>
              <w:pStyle w:val="922"/>
              <w:rPr>
                <w:highlight w:val="none"/>
              </w:rPr>
            </w:pPr>
            <w:r>
              <w:rPr>
                <w:rFonts w:hint="eastAsia"/>
                <w:highlight w:val="none"/>
              </w:rPr>
              <w:t xml:space="preserve">1</w:t>
            </w:r>
            <w:r>
              <w:rPr>
                <w:rFonts w:hint="eastAsia"/>
                <w:highlight w:val="none"/>
                <w:lang w:val="en-US" w:eastAsia="zh-CN"/>
              </w:rPr>
              <w:t xml:space="preserve">.</w:t>
            </w:r>
            <w:r>
              <w:rPr>
                <w:rFonts w:hint="eastAsia"/>
                <w:highlight w:val="none"/>
              </w:rPr>
              <w:t xml:space="preserve">从业人员健康管理制度和培训管理制度最高4分；</w:t>
            </w:r>
            <w:r>
              <w:rPr>
                <w:highlight w:val="none"/>
              </w:rPr>
            </w:r>
            <w:r/>
          </w:p>
          <w:p>
            <w:pPr>
              <w:pStyle w:val="922"/>
              <w:rPr>
                <w:highlight w:val="none"/>
              </w:rPr>
            </w:pPr>
            <w:r>
              <w:rPr>
                <w:rFonts w:hint="eastAsia"/>
                <w:highlight w:val="none"/>
              </w:rPr>
              <w:t xml:space="preserve">2</w:t>
            </w:r>
            <w:r>
              <w:rPr>
                <w:rFonts w:hint="eastAsia"/>
                <w:highlight w:val="none"/>
                <w:lang w:val="en-US" w:eastAsia="zh-CN"/>
              </w:rPr>
              <w:t xml:space="preserve">.</w:t>
            </w:r>
            <w:r>
              <w:rPr>
                <w:rFonts w:hint="eastAsia"/>
                <w:highlight w:val="none"/>
              </w:rPr>
              <w:t xml:space="preserve">加工经营场所及设施设备清洁、消毒和维修保养制度最高4分；</w:t>
            </w:r>
            <w:r>
              <w:rPr>
                <w:highlight w:val="none"/>
              </w:rPr>
            </w:r>
            <w:r/>
          </w:p>
          <w:p>
            <w:pPr>
              <w:pStyle w:val="922"/>
              <w:rPr>
                <w:highlight w:val="none"/>
              </w:rPr>
            </w:pPr>
            <w:r>
              <w:rPr>
                <w:rFonts w:hint="eastAsia"/>
                <w:highlight w:val="none"/>
              </w:rPr>
              <w:t xml:space="preserve">3</w:t>
            </w:r>
            <w:r>
              <w:rPr>
                <w:rFonts w:hint="eastAsia"/>
                <w:highlight w:val="none"/>
                <w:lang w:val="en-US" w:eastAsia="zh-CN"/>
              </w:rPr>
              <w:t xml:space="preserve">.</w:t>
            </w:r>
            <w:r>
              <w:rPr>
                <w:rFonts w:hint="eastAsia"/>
                <w:highlight w:val="none"/>
              </w:rPr>
              <w:t xml:space="preserve">食品、食品添加剂、食品相关产品采购索证索票、进货查验最高4分；（以上每项方案需贴合项目，不提供不得分）</w:t>
            </w:r>
            <w:r>
              <w:rPr>
                <w:highlight w:val="none"/>
              </w:rPr>
            </w:r>
            <w:r/>
          </w:p>
        </w:tc>
        <w:tc>
          <w:tcPr>
            <w:tcW w:w="362" w:type="dxa"/>
            <w:vAlign w:val="center"/>
            <w:textDirection w:val="lrTb"/>
            <w:noWrap w:val="false"/>
          </w:tcPr>
          <w:p>
            <w:pPr>
              <w:pStyle w:val="922"/>
              <w:jc w:val="center"/>
              <w:widowControl/>
              <w:rPr>
                <w:rFonts w:hint="eastAsia"/>
                <w:highlight w:val="none"/>
              </w:rPr>
            </w:pPr>
            <w:r>
              <w:rPr>
                <w:rFonts w:hint="eastAsia"/>
                <w:highlight w:val="none"/>
              </w:rPr>
              <w:t xml:space="preserve">12</w:t>
            </w:r>
            <w:r>
              <w:rPr>
                <w:rFonts w:hint="eastAsia"/>
                <w:highlight w:val="none"/>
              </w:rPr>
            </w:r>
            <w:r/>
          </w:p>
        </w:tc>
      </w:tr>
      <w:tr>
        <w:trPr>
          <w:trHeight w:val="1526"/>
        </w:trPr>
        <w:tc>
          <w:tcPr>
            <w:tcW w:w="668" w:type="dxa"/>
            <w:vAlign w:val="center"/>
            <w:vMerge w:val="continue"/>
            <w:textDirection w:val="lrTb"/>
            <w:noWrap w:val="false"/>
          </w:tcPr>
          <w:p>
            <w:pPr>
              <w:pStyle w:val="922"/>
              <w:jc w:val="center"/>
              <w:rPr>
                <w:highlight w:val="none"/>
              </w:rPr>
            </w:pP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应急预案</w:t>
            </w:r>
            <w:r>
              <w:rPr>
                <w:highlight w:val="none"/>
              </w:rPr>
            </w:r>
            <w:r/>
          </w:p>
        </w:tc>
        <w:tc>
          <w:tcPr>
            <w:tcW w:w="3053" w:type="dxa"/>
            <w:vAlign w:val="center"/>
            <w:textDirection w:val="lrTb"/>
            <w:noWrap w:val="false"/>
          </w:tcPr>
          <w:p>
            <w:pPr>
              <w:pStyle w:val="922"/>
              <w:rPr>
                <w:rFonts w:hint="eastAsia"/>
                <w:highlight w:val="none"/>
              </w:rPr>
            </w:pPr>
            <w:r>
              <w:rPr>
                <w:rFonts w:hint="eastAsia"/>
                <w:highlight w:val="none"/>
              </w:rPr>
              <w:t xml:space="preserve">针对本项目紧急情况制定的应急预案包括1.食物中毒应急、2.投诉处理，3.消防事故处理等预案，且方案针对性强、可实施性强的，每一项最高得2分。本项满分得6分。</w:t>
            </w:r>
            <w:r>
              <w:rPr>
                <w:rFonts w:hint="eastAsia"/>
                <w:highlight w:val="none"/>
              </w:rPr>
            </w:r>
            <w:r/>
          </w:p>
          <w:p>
            <w:pPr>
              <w:pStyle w:val="922"/>
              <w:rPr>
                <w:highlight w:val="none"/>
              </w:rPr>
            </w:pPr>
            <w:r>
              <w:rPr>
                <w:rFonts w:hint="eastAsia"/>
                <w:highlight w:val="none"/>
              </w:rPr>
              <w:t xml:space="preserve">（以上每项方案需贴合项目，不提供不得分）</w:t>
            </w:r>
            <w:r>
              <w:rPr>
                <w:highlight w:val="none"/>
              </w:rPr>
            </w:r>
            <w:r/>
          </w:p>
        </w:tc>
        <w:tc>
          <w:tcPr>
            <w:tcW w:w="362" w:type="dxa"/>
            <w:vAlign w:val="center"/>
            <w:textDirection w:val="lrTb"/>
            <w:noWrap w:val="false"/>
          </w:tcPr>
          <w:p>
            <w:pPr>
              <w:pStyle w:val="922"/>
              <w:jc w:val="center"/>
              <w:widowControl/>
              <w:rPr>
                <w:rFonts w:hint="eastAsia"/>
                <w:highlight w:val="none"/>
              </w:rPr>
            </w:pPr>
            <w:r>
              <w:rPr>
                <w:rFonts w:hint="eastAsia"/>
                <w:highlight w:val="none"/>
              </w:rPr>
              <w:t xml:space="preserve">6</w:t>
            </w:r>
            <w:r>
              <w:rPr>
                <w:rFonts w:hint="eastAsia"/>
                <w:highlight w:val="none"/>
              </w:rPr>
            </w:r>
            <w:r/>
          </w:p>
        </w:tc>
      </w:tr>
      <w:tr>
        <w:trPr>
          <w:trHeight w:val="1894"/>
        </w:trPr>
        <w:tc>
          <w:tcPr>
            <w:tcW w:w="668" w:type="dxa"/>
            <w:vAlign w:val="center"/>
            <w:vMerge w:val="continue"/>
            <w:textDirection w:val="lrTb"/>
            <w:noWrap w:val="false"/>
          </w:tcPr>
          <w:p>
            <w:pPr>
              <w:pStyle w:val="922"/>
              <w:jc w:val="center"/>
              <w:rPr>
                <w:highlight w:val="none"/>
              </w:rPr>
            </w:pP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食品安全追溯及召回机制方案</w:t>
            </w:r>
            <w:r>
              <w:rPr>
                <w:highlight w:val="none"/>
              </w:rPr>
            </w:r>
            <w:r/>
          </w:p>
        </w:tc>
        <w:tc>
          <w:tcPr>
            <w:tcW w:w="3053" w:type="dxa"/>
            <w:vAlign w:val="center"/>
            <w:textDirection w:val="lrTb"/>
            <w:noWrap w:val="false"/>
          </w:tcPr>
          <w:p>
            <w:pPr>
              <w:pStyle w:val="922"/>
              <w:numPr>
                <w:ilvl w:val="0"/>
                <w:numId w:val="0"/>
              </w:numPr>
              <w:jc w:val="left"/>
              <w:widowControl/>
              <w:rPr>
                <w:highlight w:val="none"/>
              </w:rPr>
            </w:pPr>
            <w:r>
              <w:rPr>
                <w:rFonts w:hint="eastAsia"/>
                <w:highlight w:val="none"/>
                <w:lang w:val="en-US" w:eastAsia="zh-CN"/>
              </w:rPr>
              <w:t xml:space="preserve">1.</w:t>
            </w:r>
            <w:r>
              <w:rPr>
                <w:rFonts w:hint="eastAsia"/>
                <w:highlight w:val="none"/>
              </w:rPr>
              <w:t xml:space="preserve">建立食品安全追溯体系，采集、留存生产经营信息，保证食品可追溯，最高3分； </w:t>
            </w:r>
            <w:r>
              <w:rPr>
                <w:highlight w:val="none"/>
              </w:rPr>
            </w:r>
            <w:r/>
          </w:p>
          <w:p>
            <w:pPr>
              <w:pStyle w:val="922"/>
              <w:numPr>
                <w:ilvl w:val="0"/>
                <w:numId w:val="0"/>
              </w:numPr>
              <w:jc w:val="left"/>
              <w:widowControl/>
              <w:rPr>
                <w:highlight w:val="none"/>
              </w:rPr>
            </w:pPr>
            <w:r>
              <w:rPr>
                <w:rFonts w:hint="eastAsia"/>
                <w:highlight w:val="none"/>
                <w:lang w:val="en-US" w:eastAsia="zh-CN"/>
              </w:rPr>
              <w:t xml:space="preserve">2.</w:t>
            </w:r>
            <w:r>
              <w:rPr>
                <w:rFonts w:hint="eastAsia"/>
                <w:highlight w:val="none"/>
              </w:rPr>
              <w:t xml:space="preserve">建立食品召回机制，最高3分； </w:t>
            </w:r>
            <w:r>
              <w:rPr>
                <w:highlight w:val="none"/>
              </w:rPr>
            </w:r>
            <w:r/>
          </w:p>
          <w:p>
            <w:pPr>
              <w:pStyle w:val="922"/>
              <w:numPr>
                <w:ilvl w:val="0"/>
                <w:numId w:val="0"/>
              </w:numPr>
              <w:jc w:val="left"/>
              <w:widowControl/>
              <w:rPr>
                <w:highlight w:val="none"/>
              </w:rPr>
            </w:pPr>
            <w:r>
              <w:rPr>
                <w:rFonts w:hint="eastAsia"/>
                <w:highlight w:val="none"/>
                <w:lang w:val="en-US" w:eastAsia="zh-CN"/>
              </w:rPr>
              <w:t xml:space="preserve">3.</w:t>
            </w:r>
            <w:r>
              <w:rPr>
                <w:rFonts w:hint="eastAsia"/>
                <w:highlight w:val="none"/>
              </w:rPr>
              <w:t xml:space="preserve">发现的不符合食品安全标准或者有证据证明可能危害人体健康的，快速启动召回措施，并对召回的食品采取无害化处理、销毁等措施，最高3分。</w:t>
            </w:r>
            <w:r>
              <w:rPr>
                <w:highlight w:val="none"/>
              </w:rPr>
            </w:r>
            <w:r/>
          </w:p>
          <w:p>
            <w:pPr>
              <w:pStyle w:val="922"/>
              <w:jc w:val="left"/>
              <w:widowControl/>
              <w:rPr>
                <w:highlight w:val="none"/>
              </w:rPr>
            </w:pPr>
            <w:r>
              <w:rPr>
                <w:rFonts w:hint="eastAsia"/>
                <w:highlight w:val="none"/>
              </w:rPr>
              <w:t xml:space="preserve">本项满分得9分。</w:t>
            </w:r>
            <w:r>
              <w:rPr>
                <w:highlight w:val="none"/>
              </w:rPr>
            </w:r>
            <w:r/>
          </w:p>
          <w:p>
            <w:pPr>
              <w:pStyle w:val="922"/>
              <w:jc w:val="left"/>
              <w:widowControl/>
              <w:rPr>
                <w:highlight w:val="none"/>
              </w:rPr>
            </w:pPr>
            <w:r>
              <w:rPr>
                <w:rFonts w:hint="eastAsia"/>
                <w:highlight w:val="none"/>
              </w:rPr>
              <w:t xml:space="preserve">（以上每项方案需贴合项目，不提供不得分）</w:t>
            </w:r>
            <w:r>
              <w:rPr>
                <w:highlight w:val="none"/>
              </w:rPr>
            </w:r>
            <w:r/>
          </w:p>
        </w:tc>
        <w:tc>
          <w:tcPr>
            <w:tcW w:w="362" w:type="dxa"/>
            <w:vAlign w:val="center"/>
            <w:textDirection w:val="lrTb"/>
            <w:noWrap w:val="false"/>
          </w:tcPr>
          <w:p>
            <w:pPr>
              <w:pStyle w:val="922"/>
              <w:jc w:val="center"/>
              <w:widowControl/>
              <w:rPr>
                <w:highlight w:val="none"/>
              </w:rPr>
            </w:pPr>
            <w:r>
              <w:rPr>
                <w:rFonts w:hint="eastAsia"/>
                <w:highlight w:val="none"/>
              </w:rPr>
              <w:t xml:space="preserve">9</w:t>
            </w:r>
            <w:r>
              <w:rPr>
                <w:highlight w:val="none"/>
              </w:rPr>
            </w:r>
            <w:r/>
          </w:p>
        </w:tc>
      </w:tr>
      <w:tr>
        <w:trPr>
          <w:trHeight w:val="1076"/>
        </w:trPr>
        <w:tc>
          <w:tcPr>
            <w:tcW w:w="668" w:type="dxa"/>
            <w:vAlign w:val="center"/>
            <w:vMerge w:val="continue"/>
            <w:textDirection w:val="lrTb"/>
            <w:noWrap w:val="false"/>
          </w:tcPr>
          <w:p>
            <w:pPr>
              <w:pStyle w:val="922"/>
              <w:jc w:val="center"/>
              <w:rPr>
                <w:highlight w:val="none"/>
              </w:rPr>
            </w:pP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食品质量安全承诺</w:t>
            </w:r>
            <w:r>
              <w:rPr>
                <w:highlight w:val="none"/>
              </w:rPr>
            </w:r>
            <w:r/>
          </w:p>
        </w:tc>
        <w:tc>
          <w:tcPr>
            <w:tcW w:w="3053" w:type="dxa"/>
            <w:vAlign w:val="center"/>
            <w:textDirection w:val="lrTb"/>
            <w:noWrap w:val="false"/>
          </w:tcPr>
          <w:p>
            <w:pPr>
              <w:pStyle w:val="922"/>
              <w:jc w:val="left"/>
              <w:widowControl/>
              <w:rPr>
                <w:highlight w:val="none"/>
              </w:rPr>
            </w:pPr>
            <w:r>
              <w:rPr>
                <w:rFonts w:hint="eastAsia"/>
                <w:highlight w:val="none"/>
              </w:rPr>
              <w:t xml:space="preserve">投标人须提供食品质量安全承诺书并盖公章，格式自拟，否则不得分。在实际履约过程中如出现违反承诺的，采购单位可直接终止合作。</w:t>
            </w:r>
            <w:r>
              <w:rPr>
                <w:highlight w:val="none"/>
              </w:rPr>
            </w:r>
            <w:r/>
          </w:p>
        </w:tc>
        <w:tc>
          <w:tcPr>
            <w:tcW w:w="362" w:type="dxa"/>
            <w:vAlign w:val="center"/>
            <w:textDirection w:val="lrTb"/>
            <w:noWrap w:val="false"/>
          </w:tcPr>
          <w:p>
            <w:pPr>
              <w:pStyle w:val="922"/>
              <w:jc w:val="center"/>
              <w:widowControl/>
              <w:rPr>
                <w:rFonts w:hint="eastAsia"/>
                <w:highlight w:val="none"/>
              </w:rPr>
            </w:pPr>
            <w:r>
              <w:rPr>
                <w:rFonts w:hint="eastAsia"/>
                <w:highlight w:val="none"/>
              </w:rPr>
              <w:t xml:space="preserve">3</w:t>
            </w:r>
            <w:r>
              <w:rPr>
                <w:rFonts w:hint="eastAsia"/>
                <w:highlight w:val="none"/>
              </w:rPr>
            </w:r>
            <w:r/>
          </w:p>
        </w:tc>
      </w:tr>
      <w:tr>
        <w:trPr>
          <w:trHeight w:val="1076"/>
        </w:trPr>
        <w:tc>
          <w:tcPr>
            <w:tcW w:w="668" w:type="dxa"/>
            <w:vAlign w:val="center"/>
            <w:vMerge w:val="continue"/>
            <w:textDirection w:val="lrTb"/>
            <w:noWrap w:val="false"/>
          </w:tcPr>
          <w:p>
            <w:pPr>
              <w:pStyle w:val="922"/>
              <w:jc w:val="center"/>
              <w:rPr>
                <w:highlight w:val="none"/>
              </w:rPr>
            </w:pPr>
            <w:r>
              <w:rPr>
                <w:highlight w:val="none"/>
              </w:rPr>
            </w:r>
            <w:r/>
          </w:p>
        </w:tc>
        <w:tc>
          <w:tcPr>
            <w:tcW w:w="915" w:type="dxa"/>
            <w:vAlign w:val="center"/>
            <w:textDirection w:val="lrTb"/>
            <w:noWrap w:val="false"/>
          </w:tcPr>
          <w:p>
            <w:pPr>
              <w:pStyle w:val="922"/>
              <w:jc w:val="center"/>
              <w:widowControl/>
              <w:rPr>
                <w:rFonts w:hint="eastAsia"/>
                <w:highlight w:val="none"/>
              </w:rPr>
            </w:pPr>
            <w:r>
              <w:rPr>
                <w:rFonts w:hint="eastAsia" w:ascii="宋体" w:hAnsi="宋体" w:cs="宋体"/>
                <w:szCs w:val="21"/>
                <w:highlight w:val="none"/>
              </w:rPr>
              <w:t xml:space="preserve">经营场所情况</w:t>
            </w:r>
            <w:r>
              <w:rPr>
                <w:rFonts w:hint="eastAsia"/>
                <w:highlight w:val="none"/>
              </w:rPr>
            </w:r>
            <w:r/>
          </w:p>
        </w:tc>
        <w:tc>
          <w:tcPr>
            <w:tcW w:w="3053" w:type="dxa"/>
            <w:vAlign w:val="center"/>
            <w:textDirection w:val="lrTb"/>
            <w:noWrap w:val="false"/>
          </w:tcPr>
          <w:p>
            <w:pPr>
              <w:pStyle w:val="922"/>
              <w:jc w:val="left"/>
              <w:rPr>
                <w:rFonts w:hint="eastAsia" w:ascii="宋体" w:hAnsi="宋体" w:cs="宋体"/>
                <w:szCs w:val="21"/>
                <w:highlight w:val="none"/>
              </w:rPr>
            </w:pPr>
            <w:r>
              <w:rPr>
                <w:rFonts w:hint="eastAsia" w:ascii="宋体" w:hAnsi="宋体" w:cs="宋体"/>
                <w:szCs w:val="21"/>
                <w:highlight w:val="none"/>
              </w:rPr>
              <w:t xml:space="preserve">经营场所的布局划分：</w:t>
            </w:r>
            <w:r>
              <w:rPr>
                <w:rFonts w:hint="eastAsia" w:ascii="宋体" w:hAnsi="宋体" w:cs="宋体"/>
                <w:szCs w:val="21"/>
                <w:highlight w:val="none"/>
              </w:rPr>
              <w:t xml:space="preserve">要求整体功能分区明确，没有交叉污染，经营场所环境整洁，并与有毒、有害场所以及其他污染源保持规定的距离；各专用场所按照原材料进入、处理、暂存、分装、供应的流程合理布局，配备更衣、盥洗、消毒、照明、通风、防尘、防蝇、防鼠、保洁等设施。满分得6分。</w:t>
            </w:r>
            <w:r>
              <w:rPr>
                <w:rFonts w:hint="eastAsia" w:ascii="宋体" w:hAnsi="宋体" w:cs="宋体"/>
                <w:szCs w:val="21"/>
                <w:highlight w:val="none"/>
              </w:rPr>
            </w:r>
            <w:r/>
          </w:p>
        </w:tc>
        <w:tc>
          <w:tcPr>
            <w:tcW w:w="362" w:type="dxa"/>
            <w:vAlign w:val="center"/>
            <w:textDirection w:val="lrTb"/>
            <w:noWrap w:val="false"/>
          </w:tcPr>
          <w:p>
            <w:pPr>
              <w:pStyle w:val="922"/>
              <w:jc w:val="center"/>
              <w:widowControl/>
              <w:rPr>
                <w:rFonts w:hint="eastAsia"/>
                <w:highlight w:val="none"/>
              </w:rPr>
            </w:pPr>
            <w:r>
              <w:rPr>
                <w:rFonts w:hint="eastAsia"/>
                <w:highlight w:val="none"/>
              </w:rPr>
              <w:t xml:space="preserve">6</w:t>
            </w:r>
            <w:r>
              <w:rPr>
                <w:rFonts w:hint="eastAsia"/>
                <w:highlight w:val="none"/>
              </w:rPr>
            </w:r>
            <w:r/>
          </w:p>
        </w:tc>
      </w:tr>
      <w:tr>
        <w:trPr>
          <w:trHeight w:val="956"/>
        </w:trPr>
        <w:tc>
          <w:tcPr>
            <w:tcW w:w="668" w:type="dxa"/>
            <w:vAlign w:val="center"/>
            <w:vMerge w:val="restart"/>
            <w:textDirection w:val="lrTb"/>
            <w:noWrap w:val="false"/>
          </w:tcPr>
          <w:p>
            <w:pPr>
              <w:pStyle w:val="922"/>
              <w:jc w:val="center"/>
              <w:rPr>
                <w:highlight w:val="none"/>
              </w:rPr>
            </w:pPr>
            <w:r>
              <w:rPr>
                <w:rFonts w:hint="eastAsia"/>
                <w:highlight w:val="none"/>
              </w:rPr>
              <w:t xml:space="preserve">商务部分</w:t>
            </w: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项目组成员</w:t>
            </w:r>
            <w:r>
              <w:rPr>
                <w:highlight w:val="none"/>
              </w:rPr>
            </w:r>
            <w:r/>
          </w:p>
        </w:tc>
        <w:tc>
          <w:tcPr>
            <w:tcW w:w="3053" w:type="dxa"/>
            <w:vAlign w:val="center"/>
            <w:textDirection w:val="lrTb"/>
            <w:noWrap w:val="false"/>
          </w:tcPr>
          <w:p>
            <w:pPr>
              <w:pStyle w:val="922"/>
              <w:rPr>
                <w:highlight w:val="none"/>
              </w:rPr>
            </w:pPr>
            <w:r>
              <w:rPr>
                <w:rFonts w:hint="eastAsia"/>
                <w:highlight w:val="none"/>
              </w:rPr>
              <w:t xml:space="preserve">根据项目情况配置项目组成员（成员不少于5人，低于5人不得分），提供项目组成员表并加盖公章得1分。</w:t>
            </w:r>
            <w:r>
              <w:rPr>
                <w:highlight w:val="none"/>
              </w:rPr>
            </w:r>
            <w:r/>
          </w:p>
          <w:p>
            <w:pPr>
              <w:pStyle w:val="922"/>
              <w:rPr>
                <w:highlight w:val="none"/>
              </w:rPr>
            </w:pPr>
            <w:r>
              <w:rPr>
                <w:rFonts w:hint="eastAsia"/>
                <w:highlight w:val="none"/>
              </w:rPr>
              <w:t xml:space="preserve">项目组成员中有食品安全管理员考试合格证的得2分；有高级营养师证的得2分，最高4分。本项满分5分。</w:t>
            </w:r>
            <w:r>
              <w:rPr>
                <w:highlight w:val="none"/>
              </w:rPr>
            </w:r>
            <w:r/>
          </w:p>
          <w:p>
            <w:pPr>
              <w:pStyle w:val="922"/>
              <w:rPr>
                <w:rFonts w:hint="eastAsia"/>
                <w:highlight w:val="none"/>
              </w:rPr>
            </w:pPr>
            <w:r/>
            <w:bookmarkStart w:id="65" w:name="OLE_LINK2"/>
            <w:r>
              <w:rPr>
                <w:rFonts w:hint="eastAsia"/>
                <w:highlight w:val="none"/>
              </w:rPr>
              <w:t xml:space="preserve">（投标文件中须提供项目组成员的相关证书、劳动合同、投标单位为其缴纳社保等相应证明，未按要求提供资料或资料提供不全，本项不得分）</w:t>
            </w:r>
            <w:bookmarkEnd w:id="65"/>
            <w:r>
              <w:rPr>
                <w:rFonts w:hint="eastAsia"/>
                <w:highlight w:val="none"/>
              </w:rPr>
            </w:r>
            <w:r/>
          </w:p>
        </w:tc>
        <w:tc>
          <w:tcPr>
            <w:tcW w:w="362" w:type="dxa"/>
            <w:vAlign w:val="center"/>
            <w:textDirection w:val="lrTb"/>
            <w:noWrap w:val="false"/>
          </w:tcPr>
          <w:p>
            <w:pPr>
              <w:pStyle w:val="922"/>
              <w:jc w:val="center"/>
              <w:widowControl/>
              <w:rPr>
                <w:rFonts w:hint="eastAsia"/>
                <w:highlight w:val="none"/>
              </w:rPr>
            </w:pPr>
            <w:r>
              <w:rPr>
                <w:rFonts w:hint="eastAsia"/>
                <w:highlight w:val="none"/>
              </w:rPr>
              <w:t xml:space="preserve">5</w:t>
            </w:r>
            <w:r>
              <w:rPr>
                <w:rFonts w:hint="eastAsia"/>
                <w:highlight w:val="none"/>
              </w:rPr>
            </w:r>
            <w:r/>
          </w:p>
        </w:tc>
      </w:tr>
      <w:tr>
        <w:trPr>
          <w:trHeight w:val="1020"/>
        </w:trPr>
        <w:tc>
          <w:tcPr>
            <w:tcW w:w="668" w:type="dxa"/>
            <w:vAlign w:val="center"/>
            <w:vMerge w:val="continue"/>
            <w:textDirection w:val="lrTb"/>
            <w:noWrap w:val="false"/>
          </w:tcPr>
          <w:p>
            <w:pPr>
              <w:pStyle w:val="922"/>
              <w:jc w:val="center"/>
              <w:widowControl/>
              <w:rPr>
                <w:highlight w:val="none"/>
              </w:rPr>
            </w:pP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主厨</w:t>
            </w:r>
            <w:r>
              <w:rPr>
                <w:highlight w:val="none"/>
              </w:rPr>
            </w:r>
            <w:r/>
          </w:p>
          <w:p>
            <w:pPr>
              <w:pStyle w:val="922"/>
              <w:jc w:val="center"/>
              <w:widowControl/>
              <w:rPr>
                <w:highlight w:val="none"/>
              </w:rPr>
            </w:pPr>
            <w:r>
              <w:rPr>
                <w:rFonts w:hint="eastAsia"/>
                <w:highlight w:val="none"/>
              </w:rPr>
              <w:t xml:space="preserve">（1人）</w:t>
            </w:r>
            <w:r>
              <w:rPr>
                <w:highlight w:val="none"/>
              </w:rPr>
            </w:r>
            <w:r/>
          </w:p>
        </w:tc>
        <w:tc>
          <w:tcPr>
            <w:tcW w:w="3053" w:type="dxa"/>
            <w:vAlign w:val="center"/>
            <w:textDirection w:val="lrTb"/>
            <w:noWrap w:val="false"/>
          </w:tcPr>
          <w:p>
            <w:pPr>
              <w:pStyle w:val="922"/>
              <w:rPr>
                <w:highlight w:val="none"/>
              </w:rPr>
            </w:pPr>
            <w:r>
              <w:rPr>
                <w:rFonts w:hint="eastAsia"/>
                <w:highlight w:val="none"/>
              </w:rPr>
              <w:t xml:space="preserve">1.本项目配备的主厨具有5年以上的从业经验，详细描述主厨从业的经历，最高3分。</w:t>
            </w:r>
            <w:r>
              <w:rPr>
                <w:highlight w:val="none"/>
              </w:rPr>
            </w:r>
            <w:r/>
          </w:p>
          <w:p>
            <w:pPr>
              <w:pStyle w:val="922"/>
              <w:rPr>
                <w:rFonts w:hint="eastAsia"/>
                <w:highlight w:val="none"/>
              </w:rPr>
            </w:pPr>
            <w:r>
              <w:rPr>
                <w:rFonts w:hint="eastAsia"/>
                <w:highlight w:val="none"/>
              </w:rPr>
              <w:t xml:space="preserve">2. 本项目配备的主厨具有中式烹调师证或厨师证的得2分，提供相关证书扫描件加盖公章，投标文件中须提供主厨的相关证书、劳动合同、投标单位为其缴纳社保等相应证明，未按要求提供资料或资料提供不全，不得分。</w:t>
            </w:r>
            <w:r>
              <w:rPr>
                <w:rFonts w:hint="eastAsia"/>
                <w:highlight w:val="none"/>
              </w:rPr>
            </w:r>
            <w:r/>
          </w:p>
        </w:tc>
        <w:tc>
          <w:tcPr>
            <w:tcW w:w="362" w:type="dxa"/>
            <w:vAlign w:val="center"/>
            <w:textDirection w:val="lrTb"/>
            <w:noWrap w:val="false"/>
          </w:tcPr>
          <w:p>
            <w:pPr>
              <w:pStyle w:val="922"/>
              <w:jc w:val="center"/>
              <w:widowControl/>
              <w:rPr>
                <w:rFonts w:hint="eastAsia"/>
                <w:highlight w:val="none"/>
              </w:rPr>
            </w:pPr>
            <w:r>
              <w:rPr>
                <w:rFonts w:hint="eastAsia"/>
                <w:highlight w:val="none"/>
              </w:rPr>
              <w:t xml:space="preserve">5</w:t>
            </w:r>
            <w:r>
              <w:rPr>
                <w:rFonts w:hint="eastAsia"/>
                <w:highlight w:val="none"/>
              </w:rPr>
            </w:r>
            <w:r/>
          </w:p>
        </w:tc>
      </w:tr>
      <w:tr>
        <w:trPr>
          <w:trHeight w:val="2361"/>
        </w:trPr>
        <w:tc>
          <w:tcPr>
            <w:tcW w:w="668" w:type="dxa"/>
            <w:vAlign w:val="center"/>
            <w:vMerge w:val="continue"/>
            <w:textDirection w:val="lrTb"/>
            <w:noWrap w:val="false"/>
          </w:tcPr>
          <w:p>
            <w:pPr>
              <w:pStyle w:val="922"/>
              <w:jc w:val="center"/>
              <w:widowControl/>
              <w:rPr>
                <w:highlight w:val="none"/>
              </w:rPr>
            </w:pP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体系认证情况</w:t>
            </w:r>
            <w:r>
              <w:rPr>
                <w:highlight w:val="none"/>
              </w:rPr>
            </w:r>
            <w:r/>
          </w:p>
        </w:tc>
        <w:tc>
          <w:tcPr>
            <w:tcW w:w="3053" w:type="dxa"/>
            <w:vAlign w:val="center"/>
            <w:textDirection w:val="lrTb"/>
            <w:noWrap w:val="false"/>
          </w:tcPr>
          <w:p>
            <w:pPr>
              <w:pStyle w:val="922"/>
              <w:jc w:val="left"/>
              <w:widowControl/>
              <w:rPr>
                <w:highlight w:val="none"/>
              </w:rPr>
            </w:pPr>
            <w:r>
              <w:rPr>
                <w:rFonts w:hint="eastAsia"/>
                <w:highlight w:val="none"/>
              </w:rPr>
              <w:t xml:space="preserve">1.通过ISO9001质量管理体系认证，得 2分； </w:t>
            </w:r>
            <w:r>
              <w:rPr>
                <w:highlight w:val="none"/>
              </w:rPr>
            </w:r>
            <w:r/>
          </w:p>
          <w:p>
            <w:pPr>
              <w:pStyle w:val="922"/>
              <w:jc w:val="left"/>
              <w:widowControl/>
              <w:rPr>
                <w:highlight w:val="none"/>
              </w:rPr>
            </w:pPr>
            <w:r>
              <w:rPr>
                <w:rFonts w:hint="eastAsia"/>
                <w:highlight w:val="none"/>
              </w:rPr>
              <w:t xml:space="preserve">2.通过ISO14001环境管理体系认证，得 2分；</w:t>
            </w:r>
            <w:r>
              <w:rPr>
                <w:highlight w:val="none"/>
              </w:rPr>
            </w:r>
            <w:r/>
          </w:p>
          <w:p>
            <w:pPr>
              <w:pStyle w:val="922"/>
              <w:jc w:val="left"/>
              <w:widowControl/>
              <w:rPr>
                <w:highlight w:val="none"/>
              </w:rPr>
            </w:pPr>
            <w:r>
              <w:rPr>
                <w:rFonts w:hint="eastAsia"/>
                <w:highlight w:val="none"/>
              </w:rPr>
              <w:t xml:space="preserve">3.通过ISO22000食品安全管理体系认证，得 2分；</w:t>
            </w:r>
            <w:r>
              <w:rPr>
                <w:highlight w:val="none"/>
              </w:rPr>
            </w:r>
            <w:r/>
          </w:p>
          <w:p>
            <w:pPr>
              <w:pStyle w:val="922"/>
              <w:jc w:val="left"/>
              <w:widowControl/>
              <w:rPr>
                <w:rFonts w:hint="eastAsia"/>
                <w:highlight w:val="none"/>
              </w:rPr>
            </w:pPr>
            <w:r>
              <w:rPr>
                <w:rFonts w:hint="eastAsia"/>
                <w:highlight w:val="none"/>
              </w:rPr>
              <w:t xml:space="preserve">4.通过ISO45001职业健康安全管理体系认证，得2分；</w:t>
            </w:r>
            <w:r>
              <w:rPr>
                <w:rFonts w:hint="eastAsia"/>
                <w:highlight w:val="none"/>
              </w:rPr>
            </w:r>
            <w:r/>
          </w:p>
          <w:p>
            <w:pPr>
              <w:pStyle w:val="922"/>
              <w:jc w:val="left"/>
              <w:widowControl/>
              <w:rPr>
                <w:highlight w:val="none"/>
              </w:rPr>
            </w:pPr>
            <w:r>
              <w:rPr>
                <w:rFonts w:hint="eastAsia"/>
                <w:highlight w:val="none"/>
              </w:rPr>
              <w:t xml:space="preserve">（投标单位须提供有效期内的相关证明材料，并提供中国国家认证认可监督管理委员会（CNCA）网站查询情况截图，扫描件加盖公章。）</w:t>
            </w:r>
            <w:r>
              <w:rPr>
                <w:highlight w:val="none"/>
              </w:rPr>
            </w:r>
            <w:r/>
          </w:p>
        </w:tc>
        <w:tc>
          <w:tcPr>
            <w:tcW w:w="362" w:type="dxa"/>
            <w:vAlign w:val="center"/>
            <w:textDirection w:val="lrTb"/>
            <w:noWrap w:val="false"/>
          </w:tcPr>
          <w:p>
            <w:pPr>
              <w:pStyle w:val="922"/>
              <w:jc w:val="center"/>
              <w:widowControl/>
              <w:rPr>
                <w:highlight w:val="none"/>
              </w:rPr>
            </w:pPr>
            <w:r>
              <w:rPr>
                <w:rFonts w:hint="eastAsia"/>
                <w:highlight w:val="none"/>
              </w:rPr>
              <w:t xml:space="preserve">8</w:t>
            </w:r>
            <w:r>
              <w:rPr>
                <w:highlight w:val="none"/>
              </w:rPr>
            </w:r>
            <w:r/>
          </w:p>
        </w:tc>
      </w:tr>
      <w:tr>
        <w:trPr>
          <w:trHeight w:val="326"/>
        </w:trPr>
        <w:tc>
          <w:tcPr>
            <w:tcW w:w="668" w:type="dxa"/>
            <w:vAlign w:val="center"/>
            <w:vMerge w:val="continue"/>
            <w:textDirection w:val="lrTb"/>
            <w:noWrap w:val="false"/>
          </w:tcPr>
          <w:p>
            <w:pPr>
              <w:pStyle w:val="922"/>
              <w:jc w:val="center"/>
              <w:widowControl/>
              <w:rPr>
                <w:highlight w:val="none"/>
              </w:rPr>
            </w:pPr>
            <w:r>
              <w:rPr>
                <w:highlight w:val="none"/>
              </w:rPr>
            </w:r>
            <w:r/>
          </w:p>
        </w:tc>
        <w:tc>
          <w:tcPr>
            <w:tcW w:w="915" w:type="dxa"/>
            <w:vAlign w:val="center"/>
            <w:textDirection w:val="lrTb"/>
            <w:noWrap w:val="false"/>
          </w:tcPr>
          <w:p>
            <w:pPr>
              <w:pStyle w:val="922"/>
              <w:jc w:val="center"/>
              <w:widowControl/>
              <w:rPr>
                <w:highlight w:val="none"/>
              </w:rPr>
            </w:pPr>
            <w:r>
              <w:rPr>
                <w:rFonts w:hint="eastAsia"/>
                <w:highlight w:val="none"/>
              </w:rPr>
              <w:t xml:space="preserve">类似业绩</w:t>
            </w:r>
            <w:r>
              <w:rPr>
                <w:highlight w:val="none"/>
              </w:rPr>
            </w:r>
            <w:r/>
          </w:p>
        </w:tc>
        <w:tc>
          <w:tcPr>
            <w:tcW w:w="3053" w:type="dxa"/>
            <w:vAlign w:val="center"/>
            <w:textDirection w:val="lrTb"/>
            <w:noWrap w:val="false"/>
          </w:tcPr>
          <w:p>
            <w:pPr>
              <w:pStyle w:val="922"/>
              <w:rPr>
                <w:highlight w:val="none"/>
                <w:lang w:val="zh-CN"/>
              </w:rPr>
            </w:pPr>
            <w:r>
              <w:rPr>
                <w:rFonts w:hint="eastAsia"/>
                <w:highlight w:val="none"/>
                <w:lang w:val="zh-CN"/>
              </w:rPr>
              <w:t xml:space="preserve">投标单位提供自20</w:t>
            </w:r>
            <w:r>
              <w:rPr>
                <w:rFonts w:hint="eastAsia"/>
                <w:highlight w:val="none"/>
              </w:rPr>
              <w:t xml:space="preserve">24</w:t>
            </w:r>
            <w:r>
              <w:rPr>
                <w:rFonts w:hint="eastAsia"/>
                <w:highlight w:val="none"/>
                <w:lang w:val="zh-CN"/>
              </w:rPr>
              <w:t xml:space="preserve">年1月1日以来（以合同签订时间为准）承接过类似</w:t>
            </w:r>
            <w:r>
              <w:rPr>
                <w:rFonts w:hint="eastAsia"/>
                <w:highlight w:val="none"/>
              </w:rPr>
              <w:t xml:space="preserve">集体配餐</w:t>
            </w:r>
            <w:r>
              <w:rPr>
                <w:rFonts w:hint="eastAsia"/>
                <w:highlight w:val="none"/>
                <w:lang w:val="zh-CN"/>
              </w:rPr>
              <w:t xml:space="preserve">业绩的（</w:t>
            </w:r>
            <w:r>
              <w:rPr>
                <w:rFonts w:hint="eastAsia"/>
                <w:highlight w:val="none"/>
                <w:lang w:val="en-US" w:eastAsia="zh-CN"/>
              </w:rPr>
              <w:t xml:space="preserve">300</w:t>
            </w:r>
            <w:r>
              <w:rPr>
                <w:rFonts w:hint="eastAsia"/>
                <w:highlight w:val="none"/>
                <w:lang w:val="zh-CN"/>
              </w:rPr>
              <w:t xml:space="preserve">份/日以上的配送量），有一份得</w:t>
            </w:r>
            <w:r>
              <w:rPr>
                <w:rFonts w:hint="eastAsia"/>
                <w:highlight w:val="none"/>
              </w:rPr>
              <w:t xml:space="preserve">3</w:t>
            </w:r>
            <w:r>
              <w:rPr>
                <w:rFonts w:hint="eastAsia"/>
                <w:highlight w:val="none"/>
                <w:lang w:val="zh-CN"/>
              </w:rPr>
              <w:t xml:space="preserve">分，最高</w:t>
            </w:r>
            <w:r>
              <w:rPr>
                <w:rFonts w:hint="eastAsia"/>
                <w:highlight w:val="none"/>
              </w:rPr>
              <w:t xml:space="preserve">6</w:t>
            </w:r>
            <w:r>
              <w:rPr>
                <w:rFonts w:hint="eastAsia"/>
                <w:highlight w:val="none"/>
                <w:lang w:val="zh-CN"/>
              </w:rPr>
              <w:t xml:space="preserve">分。</w:t>
            </w:r>
            <w:r>
              <w:rPr>
                <w:highlight w:val="none"/>
                <w:lang w:val="zh-CN"/>
              </w:rPr>
            </w:r>
            <w:r/>
          </w:p>
          <w:p>
            <w:pPr>
              <w:pStyle w:val="922"/>
              <w:rPr>
                <w:highlight w:val="none"/>
              </w:rPr>
            </w:pPr>
            <w:r>
              <w:rPr>
                <w:rFonts w:hint="eastAsia"/>
                <w:highlight w:val="none"/>
                <w:lang w:val="zh-CN"/>
              </w:rPr>
              <w:t xml:space="preserve">（投标文件中须提供相关合同及对应的任意金额的发票复印件并加盖投标单位公章，未按要求提供资料不全或资料提供不全，本项不得分）</w:t>
            </w:r>
            <w:r>
              <w:rPr>
                <w:highlight w:val="none"/>
              </w:rPr>
            </w:r>
            <w:r/>
          </w:p>
        </w:tc>
        <w:tc>
          <w:tcPr>
            <w:tcW w:w="362" w:type="dxa"/>
            <w:vAlign w:val="center"/>
            <w:textDirection w:val="lrTb"/>
            <w:noWrap w:val="false"/>
          </w:tcPr>
          <w:p>
            <w:pPr>
              <w:pStyle w:val="922"/>
              <w:jc w:val="center"/>
              <w:widowControl/>
              <w:rPr>
                <w:highlight w:val="none"/>
              </w:rPr>
            </w:pPr>
            <w:r>
              <w:rPr>
                <w:rFonts w:hint="eastAsia"/>
                <w:highlight w:val="none"/>
              </w:rPr>
              <w:t xml:space="preserve">6</w:t>
            </w:r>
            <w:r>
              <w:rPr>
                <w:highlight w:val="none"/>
              </w:rPr>
            </w:r>
            <w:r/>
          </w:p>
        </w:tc>
      </w:tr>
    </w:tbl>
    <w:p>
      <w:pPr>
        <w:pStyle w:val="922"/>
        <w:jc w:val="left"/>
        <w:widowControl/>
        <w:rPr>
          <w:rFonts w:hint="eastAsia" w:ascii="Times New Roman" w:hAnsi="Times New Roman"/>
          <w:highlight w:val="none"/>
        </w:rPr>
      </w:pPr>
      <w:r/>
      <w:bookmarkEnd w:id="64"/>
      <w:r>
        <w:rPr>
          <w:rFonts w:hint="eastAsia" w:ascii="Times New Roman" w:hAnsi="Times New Roman"/>
          <w:highlight w:val="none"/>
        </w:rPr>
      </w:r>
      <w:r/>
    </w:p>
    <w:p>
      <w:pPr>
        <w:pStyle w:val="922"/>
        <w:rPr>
          <w:color w:val="000000"/>
          <w:szCs w:val="21"/>
          <w:highlight w:val="none"/>
        </w:rPr>
      </w:pPr>
      <w:r/>
      <w:bookmarkStart w:id="66" w:name="_Toc495914990"/>
      <w:r/>
      <w:bookmarkStart w:id="67" w:name="_Toc495915053"/>
      <w:r>
        <w:rPr>
          <w:rFonts w:hint="eastAsia" w:ascii="宋体" w:hAnsi="宋体" w:cs="宋体"/>
          <w:color w:val="000000"/>
          <w:szCs w:val="21"/>
          <w:highlight w:val="none"/>
        </w:rPr>
        <w:t xml:space="preserve">备注：</w:t>
      </w:r>
      <w:bookmarkEnd w:id="66"/>
      <w:r/>
      <w:bookmarkEnd w:id="67"/>
      <w:r>
        <w:rPr>
          <w:color w:val="000000"/>
          <w:szCs w:val="21"/>
          <w:highlight w:val="none"/>
        </w:rPr>
      </w:r>
      <w:r/>
    </w:p>
    <w:p>
      <w:pPr>
        <w:pStyle w:val="1240"/>
        <w:numPr>
          <w:ilvl w:val="0"/>
          <w:numId w:val="0"/>
        </w:numP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为确保货物、服务质量，投标单位除投标价格得分以外的分值低于75%作无效标处理。</w:t>
      </w:r>
      <w:r>
        <w:rPr>
          <w:rFonts w:ascii="宋体" w:hAnsi="宋体"/>
          <w:color w:val="000000"/>
          <w:szCs w:val="21"/>
          <w:highlight w:val="none"/>
        </w:rPr>
      </w:r>
      <w:r/>
    </w:p>
    <w:p>
      <w:pPr>
        <w:pStyle w:val="1240"/>
        <w:numPr>
          <w:ilvl w:val="0"/>
          <w:numId w:val="0"/>
        </w:numP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highlight w:val="none"/>
        </w:rPr>
      </w:r>
      <w:r/>
    </w:p>
    <w:p>
      <w:pPr>
        <w:pStyle w:val="1240"/>
        <w:numPr>
          <w:ilvl w:val="0"/>
          <w:numId w:val="0"/>
        </w:numP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各投标人必须进行该项目网上电子投标，否则视为无效投标。</w:t>
      </w:r>
      <w:r>
        <w:rPr>
          <w:rFonts w:ascii="宋体" w:hAnsi="宋体"/>
          <w:color w:val="000000"/>
          <w:szCs w:val="21"/>
          <w:highlight w:val="none"/>
        </w:rPr>
      </w:r>
      <w:r/>
    </w:p>
    <w:p>
      <w:pPr>
        <w:pStyle w:val="1240"/>
        <w:numPr>
          <w:ilvl w:val="0"/>
          <w:numId w:val="0"/>
        </w:numP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投标文件中的内容需和招标文件相关指标对应绑定，无绑定不得分。</w:t>
      </w:r>
      <w:r>
        <w:rPr>
          <w:rFonts w:ascii="宋体" w:hAnsi="宋体"/>
          <w:color w:val="000000"/>
          <w:szCs w:val="21"/>
          <w:highlight w:val="none"/>
        </w:rPr>
      </w:r>
      <w:r/>
    </w:p>
    <w:p>
      <w:pPr>
        <w:pStyle w:val="1240"/>
        <w:numPr>
          <w:ilvl w:val="0"/>
          <w:numId w:val="0"/>
        </w:numP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针对评分标准中评分的每一条，投标人均应提供相关资料或作出相应说明供评委评判。</w:t>
      </w:r>
      <w:r>
        <w:rPr>
          <w:rFonts w:ascii="宋体" w:hAnsi="宋体"/>
          <w:color w:val="000000"/>
          <w:szCs w:val="21"/>
          <w:highlight w:val="none"/>
        </w:rPr>
      </w:r>
      <w:r/>
    </w:p>
    <w:p>
      <w:pPr>
        <w:pStyle w:val="1240"/>
        <w:numPr>
          <w:ilvl w:val="0"/>
          <w:numId w:val="0"/>
        </w:numP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投标文件中如出现前后不一致时，评委有权请投标人澄清说明，澄清说明事项涉及评分时，评委有权酌情扣分。</w:t>
      </w:r>
      <w:r>
        <w:rPr>
          <w:rFonts w:ascii="宋体" w:hAnsi="宋体"/>
          <w:color w:val="000000"/>
          <w:szCs w:val="21"/>
          <w:highlight w:val="none"/>
        </w:rPr>
      </w:r>
      <w:r/>
    </w:p>
    <w:p>
      <w:pPr>
        <w:pStyle w:val="1240"/>
        <w:numPr>
          <w:ilvl w:val="0"/>
          <w:numId w:val="0"/>
        </w:numP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投标报价超过财政审批预算金额的，投标单位不得进入评标程序。</w:t>
      </w:r>
      <w:r>
        <w:rPr>
          <w:rFonts w:ascii="宋体" w:hAnsi="宋体"/>
          <w:color w:val="000000"/>
          <w:szCs w:val="21"/>
          <w:highlight w:val="none"/>
        </w:rPr>
      </w:r>
      <w:r/>
    </w:p>
    <w:p>
      <w:pPr>
        <w:pStyle w:val="1240"/>
        <w:numPr>
          <w:ilvl w:val="0"/>
          <w:numId w:val="0"/>
        </w:numP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本项目由评委会经综合评标法确定</w:t>
      </w:r>
      <w:r>
        <w:rPr>
          <w:rFonts w:hint="eastAsia" w:ascii="宋体" w:hAnsi="宋体"/>
          <w:color w:val="000000"/>
          <w:szCs w:val="21"/>
          <w:highlight w:val="none"/>
        </w:rPr>
        <w:t xml:space="preserve">中标</w:t>
      </w:r>
      <w:r>
        <w:rPr>
          <w:rFonts w:ascii="宋体" w:hAnsi="宋体"/>
          <w:color w:val="000000"/>
          <w:szCs w:val="21"/>
          <w:highlight w:val="none"/>
        </w:rPr>
        <w:t xml:space="preserve">单位，最低的报价并不能成为</w:t>
      </w:r>
      <w:r>
        <w:rPr>
          <w:rFonts w:hint="eastAsia" w:ascii="宋体" w:hAnsi="宋体"/>
          <w:color w:val="000000"/>
          <w:szCs w:val="21"/>
          <w:highlight w:val="none"/>
        </w:rPr>
        <w:t xml:space="preserve">中标</w:t>
      </w:r>
      <w:r>
        <w:rPr>
          <w:rFonts w:ascii="宋体" w:hAnsi="宋体"/>
          <w:color w:val="000000"/>
          <w:szCs w:val="21"/>
          <w:highlight w:val="none"/>
        </w:rPr>
        <w:t xml:space="preserve">的唯一依据。</w:t>
      </w:r>
      <w:r>
        <w:rPr>
          <w:rFonts w:ascii="宋体" w:hAnsi="宋体"/>
          <w:color w:val="000000"/>
          <w:szCs w:val="21"/>
          <w:highlight w:val="none"/>
        </w:rPr>
      </w:r>
      <w:r/>
    </w:p>
    <w:p>
      <w:pPr>
        <w:pStyle w:val="1240"/>
        <w:ind w:firstLine="0"/>
        <w:spacing w:line="360" w:lineRule="auto"/>
        <w:rPr>
          <w:rFonts w:ascii="宋体" w:hAnsi="宋体"/>
          <w:color w:val="000000"/>
          <w:szCs w:val="21"/>
          <w:highlight w:val="none"/>
        </w:rPr>
      </w:pPr>
      <w:r>
        <w:rPr>
          <w:rFonts w:ascii="宋体" w:hAnsi="宋体"/>
          <w:color w:val="000000"/>
          <w:szCs w:val="21"/>
          <w:highlight w:val="none"/>
        </w:rPr>
      </w:r>
      <w:r/>
    </w:p>
    <w:p>
      <w:pPr>
        <w:pStyle w:val="1240"/>
        <w:ind w:firstLine="0"/>
        <w:jc w:val="right"/>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Footlight MT Light">
    <w:panose1 w:val="0204060206030A020304"/>
  </w:font>
  <w:font w:name="&amp;amp;#23435;&amp;amp;#20307;">
    <w:panose1 w:val="020B0503020202020204"/>
  </w:font>
  <w:font w:name="Wingdings">
    <w:panose1 w:val="05000000000000000000"/>
  </w:font>
  <w:font w:name="全真中明體">
    <w:panose1 w:val="020B0503020202020204"/>
  </w:font>
  <w:font w:name="文鼎粗黑">
    <w:panose1 w:val="020B0503020202020204"/>
  </w:font>
  <w:font w:name="SimSun">
    <w:panose1 w:val="02010600030101010101"/>
  </w:font>
  <w:font w:name="隶书">
    <w:panose1 w:val="02010509060101010101"/>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34</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40</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46</w:t>
    </w:r>
    <w:r>
      <w:fldChar w:fldCharType="end"/>
    </w:r>
    <w:r>
      <w:rPr>
        <w:rStyle w:val="1004"/>
      </w:rPr>
    </w:r>
    <w:r/>
  </w:p>
  <w:p>
    <w:pPr>
      <w:pStyle w:val="973"/>
      <w:tabs>
        <w:tab w:val="center" w:pos="4153" w:leader="none"/>
        <w:tab w:val="right" w:pos="8306" w:leader="none"/>
      </w:tabs>
    </w:pPr>
    <w:r/>
    <w:r/>
  </w:p>
  <w:p>
    <w:pPr>
      <w:pStyle w:val="922"/>
    </w:pPr>
    <w:r/>
    <w:r/>
  </w:p>
  <w:p>
    <w:pPr>
      <w:pStyle w:val="922"/>
    </w:pPr>
    <w:r/>
    <w:r/>
  </w:p>
  <w:p>
    <w:pPr>
      <w:pStyle w:val="922"/>
    </w:pPr>
    <w:r/>
    <w:r/>
  </w:p>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tabs>
        <w:tab w:val="center" w:pos="4153" w:leader="none"/>
        <w:tab w:val="right" w:pos="8306" w:leader="none"/>
      </w:tabs>
      <w:rPr>
        <w:rFonts w:hint="eastAsia"/>
      </w:rPr>
    </w:pPr>
    <w:r>
      <w:rPr>
        <w:rFonts w:hint="eastAsia" w:ascii="宋体" w:hAnsi="宋体" w:eastAsia="宋体"/>
      </w:rPr>
      <w:t xml:space="preserve">苏州公正招标                                                             </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2"/>
        <w:ind w:left="425" w:hanging="425"/>
      </w:pPr>
      <w:rPr>
        <w:rFonts w:hint="eastAsia"/>
      </w:rPr>
    </w:lvl>
    <w:lvl w:ilvl="1">
      <w:start w:val="1"/>
      <w:numFmt w:val="decimal"/>
      <w:isLgl w:val="false"/>
      <w:suff w:val="tab"/>
      <w:lvlText w:val="%1.%2"/>
      <w:lvlJc w:val="left"/>
      <w:pPr>
        <w:pStyle w:val="922"/>
        <w:ind w:left="992" w:hanging="567"/>
      </w:pPr>
    </w:lvl>
    <w:lvl w:ilvl="2">
      <w:start w:val="1"/>
      <w:numFmt w:val="decimal"/>
      <w:isLgl w:val="false"/>
      <w:suff w:val="tab"/>
      <w:lvlText w:val="%1.%2.%3"/>
      <w:lvlJc w:val="left"/>
      <w:pPr>
        <w:pStyle w:val="922"/>
        <w:ind w:left="1418" w:hanging="567"/>
      </w:pPr>
    </w:lvl>
    <w:lvl w:ilvl="3">
      <w:start w:val="1"/>
      <w:numFmt w:val="decimal"/>
      <w:isLgl w:val="false"/>
      <w:suff w:val="tab"/>
      <w:lvlText w:val="%1.%2.%3.%4"/>
      <w:lvlJc w:val="left"/>
      <w:pPr>
        <w:pStyle w:val="922"/>
        <w:ind w:left="1984" w:hanging="708"/>
      </w:pPr>
    </w:lvl>
    <w:lvl w:ilvl="4">
      <w:start w:val="1"/>
      <w:numFmt w:val="decimal"/>
      <w:isLgl w:val="false"/>
      <w:suff w:val="tab"/>
      <w:lvlText w:val="%1.%2.%3.%4.%5"/>
      <w:lvlJc w:val="left"/>
      <w:pPr>
        <w:pStyle w:val="922"/>
        <w:ind w:left="2551" w:hanging="850"/>
      </w:pPr>
    </w:lvl>
    <w:lvl w:ilvl="5">
      <w:start w:val="1"/>
      <w:numFmt w:val="decimal"/>
      <w:isLgl w:val="false"/>
      <w:suff w:val="tab"/>
      <w:lvlText w:val="%1.%2.%3.%4.%5.%6"/>
      <w:lvlJc w:val="left"/>
      <w:pPr>
        <w:pStyle w:val="922"/>
        <w:ind w:left="3260" w:hanging="1134"/>
      </w:pPr>
    </w:lvl>
    <w:lvl w:ilvl="6">
      <w:start w:val="1"/>
      <w:numFmt w:val="decimal"/>
      <w:isLgl w:val="false"/>
      <w:suff w:val="tab"/>
      <w:lvlText w:val="%1.%2.%3.%4.%5.%6.%7"/>
      <w:lvlJc w:val="left"/>
      <w:pPr>
        <w:pStyle w:val="922"/>
        <w:ind w:left="3827" w:hanging="1276"/>
      </w:pPr>
    </w:lvl>
    <w:lvl w:ilvl="7">
      <w:start w:val="1"/>
      <w:numFmt w:val="decimal"/>
      <w:isLgl w:val="false"/>
      <w:suff w:val="tab"/>
      <w:lvlText w:val="%1.%2.%3.%4.%5.%6.%7.%8"/>
      <w:lvlJc w:val="left"/>
      <w:pPr>
        <w:pStyle w:val="922"/>
        <w:ind w:left="4394" w:hanging="1418"/>
      </w:pPr>
    </w:lvl>
    <w:lvl w:ilvl="8">
      <w:start w:val="1"/>
      <w:numFmt w:val="decimal"/>
      <w:isLgl w:val="false"/>
      <w:suff w:val="tab"/>
      <w:lvlText w:val="%1.%2.%3.%4.%5.%6.%7.%8.%9"/>
      <w:lvlJc w:val="left"/>
      <w:pPr>
        <w:pStyle w:val="922"/>
        <w:ind w:left="5102" w:hanging="1700"/>
      </w:pPr>
    </w:lvl>
  </w:abstractNum>
  <w:abstractNum w:abstractNumId="2">
    <w:multiLevelType w:val="hybridMultilevel"/>
    <w:lvl w:ilvl="0">
      <w:start w:val="1"/>
      <w:numFmt w:val="chineseCountingThousand"/>
      <w:isLgl w:val="false"/>
      <w:suff w:val="tab"/>
      <w:lvlText w:val="%1、"/>
      <w:lvlJc w:val="left"/>
      <w:pPr>
        <w:pStyle w:val="922"/>
        <w:ind w:left="844" w:hanging="420"/>
      </w:pPr>
    </w:lvl>
    <w:lvl w:ilvl="1">
      <w:start w:val="2"/>
      <w:numFmt w:val="decimal"/>
      <w:isLgl w:val="false"/>
      <w:suff w:val="tab"/>
      <w:lvlText w:val="%2、"/>
      <w:lvlJc w:val="left"/>
      <w:pPr>
        <w:pStyle w:val="922"/>
        <w:ind w:left="1204" w:hanging="360"/>
      </w:pPr>
    </w:lvl>
    <w:lvl w:ilvl="2">
      <w:start w:val="1"/>
      <w:numFmt w:val="lowerRoman"/>
      <w:isLgl w:val="false"/>
      <w:suff w:val="tab"/>
      <w:lvlText w:val="%3."/>
      <w:lvlJc w:val="right"/>
      <w:pPr>
        <w:pStyle w:val="922"/>
        <w:ind w:left="1684" w:hanging="420"/>
      </w:pPr>
    </w:lvl>
    <w:lvl w:ilvl="3">
      <w:start w:val="1"/>
      <w:numFmt w:val="decimal"/>
      <w:isLgl w:val="false"/>
      <w:suff w:val="tab"/>
      <w:lvlText w:val="%4."/>
      <w:lvlJc w:val="left"/>
      <w:pPr>
        <w:pStyle w:val="922"/>
        <w:ind w:left="2104" w:hanging="420"/>
      </w:pPr>
    </w:lvl>
    <w:lvl w:ilvl="4">
      <w:start w:val="1"/>
      <w:numFmt w:val="lowerLetter"/>
      <w:isLgl w:val="false"/>
      <w:suff w:val="tab"/>
      <w:lvlText w:val="%5)"/>
      <w:lvlJc w:val="left"/>
      <w:pPr>
        <w:pStyle w:val="922"/>
        <w:ind w:left="2524" w:hanging="420"/>
      </w:pPr>
    </w:lvl>
    <w:lvl w:ilvl="5">
      <w:start w:val="1"/>
      <w:numFmt w:val="lowerRoman"/>
      <w:isLgl w:val="false"/>
      <w:suff w:val="tab"/>
      <w:lvlText w:val="%6."/>
      <w:lvlJc w:val="right"/>
      <w:pPr>
        <w:pStyle w:val="922"/>
        <w:ind w:left="2944" w:hanging="420"/>
      </w:pPr>
    </w:lvl>
    <w:lvl w:ilvl="6">
      <w:start w:val="1"/>
      <w:numFmt w:val="decimal"/>
      <w:isLgl w:val="false"/>
      <w:suff w:val="tab"/>
      <w:lvlText w:val="%7."/>
      <w:lvlJc w:val="left"/>
      <w:pPr>
        <w:pStyle w:val="922"/>
        <w:ind w:left="3364" w:hanging="420"/>
      </w:pPr>
    </w:lvl>
    <w:lvl w:ilvl="7">
      <w:start w:val="1"/>
      <w:numFmt w:val="lowerLetter"/>
      <w:isLgl w:val="false"/>
      <w:suff w:val="tab"/>
      <w:lvlText w:val="%8)"/>
      <w:lvlJc w:val="left"/>
      <w:pPr>
        <w:pStyle w:val="922"/>
        <w:ind w:left="3784" w:hanging="420"/>
      </w:pPr>
    </w:lvl>
    <w:lvl w:ilvl="8">
      <w:start w:val="1"/>
      <w:numFmt w:val="lowerRoman"/>
      <w:isLgl w:val="false"/>
      <w:suff w:val="tab"/>
      <w:lvlText w:val="%9."/>
      <w:lvlJc w:val="right"/>
      <w:pPr>
        <w:pStyle w:val="922"/>
        <w:ind w:left="4204" w:hanging="420"/>
      </w:pPr>
    </w:lvl>
  </w:abstractNum>
  <w:abstractNum w:abstractNumId="3">
    <w:multiLevelType w:val="hybridMultilevel"/>
    <w:lvl w:ilvl="0">
      <w:start w:val="1"/>
      <w:numFmt w:val="decimal"/>
      <w:isLgl w:val="false"/>
      <w:suff w:val="space"/>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2"/>
    <w:next w:val="922"/>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2"/>
    <w:next w:val="922"/>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2"/>
    <w:next w:val="922"/>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2"/>
    <w:next w:val="922"/>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2"/>
    <w:next w:val="922"/>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2"/>
    <w:next w:val="922"/>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2"/>
    <w:next w:val="922"/>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2"/>
    <w:next w:val="922"/>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2"/>
    <w:next w:val="922"/>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22"/>
    <w:link w:val="922"/>
    <w:qFormat/>
    <w:pPr>
      <w:jc w:val="both"/>
      <w:widowControl w:val="off"/>
    </w:pPr>
    <w:rPr>
      <w:sz w:val="21"/>
      <w:szCs w:val="24"/>
      <w:lang w:val="en-US" w:eastAsia="zh-CN" w:bidi="ar-SA"/>
    </w:rPr>
  </w:style>
  <w:style w:type="paragraph" w:styleId="923">
    <w:name w:val="标题 1"/>
    <w:basedOn w:val="922"/>
    <w:next w:val="922"/>
    <w:link w:val="934"/>
    <w:qFormat/>
    <w:pPr>
      <w:keepLines/>
      <w:keepNext/>
      <w:spacing w:before="340" w:after="330" w:line="576" w:lineRule="auto"/>
      <w:outlineLvl w:val="0"/>
    </w:pPr>
    <w:rPr>
      <w:rFonts w:ascii="Times New Roman" w:hAnsi="Times New Roman" w:eastAsia="楷体_GB2312"/>
      <w:b/>
      <w:sz w:val="44"/>
      <w:szCs w:val="20"/>
    </w:rPr>
  </w:style>
  <w:style w:type="paragraph" w:styleId="924">
    <w:name w:val="标题 2"/>
    <w:basedOn w:val="922"/>
    <w:next w:val="922"/>
    <w:link w:val="935"/>
    <w:qFormat/>
    <w:pPr>
      <w:keepLines/>
      <w:keepNext/>
      <w:spacing w:before="260" w:after="260" w:line="413" w:lineRule="auto"/>
      <w:outlineLvl w:val="1"/>
    </w:pPr>
    <w:rPr>
      <w:rFonts w:ascii="Arial" w:hAnsi="Arial" w:eastAsia="黑体"/>
      <w:b/>
      <w:bCs/>
      <w:sz w:val="32"/>
      <w:szCs w:val="32"/>
    </w:rPr>
  </w:style>
  <w:style w:type="paragraph" w:styleId="925">
    <w:name w:val="标题 3"/>
    <w:basedOn w:val="922"/>
    <w:next w:val="922"/>
    <w:link w:val="936"/>
    <w:qFormat/>
    <w:pPr>
      <w:keepLines/>
      <w:keepNext/>
      <w:spacing w:before="260" w:after="260" w:line="413" w:lineRule="auto"/>
      <w:outlineLvl w:val="2"/>
    </w:pPr>
    <w:rPr>
      <w:rFonts w:ascii="Times New Roman" w:hAnsi="Times New Roman"/>
      <w:b/>
      <w:bCs/>
      <w:sz w:val="32"/>
      <w:szCs w:val="32"/>
    </w:rPr>
  </w:style>
  <w:style w:type="paragraph" w:styleId="926">
    <w:name w:val="标题 4"/>
    <w:basedOn w:val="922"/>
    <w:next w:val="922"/>
    <w:link w:val="937"/>
    <w:qFormat/>
    <w:pPr>
      <w:keepLines/>
      <w:keepNext/>
      <w:spacing w:before="280" w:after="290" w:line="376" w:lineRule="auto"/>
      <w:outlineLvl w:val="3"/>
    </w:pPr>
    <w:rPr>
      <w:rFonts w:ascii="Cambria" w:hAnsi="Cambria"/>
      <w:b/>
      <w:bCs/>
      <w:sz w:val="28"/>
      <w:szCs w:val="28"/>
    </w:rPr>
  </w:style>
  <w:style w:type="paragraph" w:styleId="927">
    <w:name w:val="标题 5"/>
    <w:basedOn w:val="922"/>
    <w:next w:val="922"/>
    <w:link w:val="938"/>
    <w:qFormat/>
    <w:pPr>
      <w:keepLines/>
      <w:keepNext/>
      <w:spacing w:before="280" w:after="290" w:line="376" w:lineRule="auto"/>
      <w:outlineLvl w:val="4"/>
    </w:pPr>
    <w:rPr>
      <w:b/>
      <w:bCs/>
      <w:sz w:val="28"/>
      <w:szCs w:val="28"/>
    </w:rPr>
  </w:style>
  <w:style w:type="paragraph" w:styleId="928">
    <w:name w:val="标题 6"/>
    <w:basedOn w:val="922"/>
    <w:next w:val="922"/>
    <w:link w:val="939"/>
    <w:qFormat/>
    <w:pPr>
      <w:ind w:left="284" w:firstLine="1134"/>
      <w:keepLines/>
      <w:keepNext/>
      <w:tabs>
        <w:tab w:val="left" w:pos="3578" w:leader="none"/>
      </w:tabs>
      <w:outlineLvl w:val="5"/>
    </w:pPr>
    <w:rPr>
      <w:rFonts w:ascii="宋体" w:hAnsi="宋体"/>
      <w:b/>
      <w:bCs/>
      <w:sz w:val="30"/>
    </w:rPr>
  </w:style>
  <w:style w:type="paragraph" w:styleId="929">
    <w:name w:val="标题 7"/>
    <w:basedOn w:val="922"/>
    <w:next w:val="941"/>
    <w:link w:val="940"/>
    <w:qFormat/>
    <w:pPr>
      <w:keepLines/>
      <w:keepNext/>
      <w:spacing w:before="240" w:after="64" w:line="320" w:lineRule="auto"/>
      <w:outlineLvl w:val="6"/>
    </w:pPr>
    <w:rPr>
      <w:rFonts w:ascii="Times New Roman" w:hAnsi="Times New Roman"/>
      <w:b/>
      <w:sz w:val="24"/>
      <w:szCs w:val="20"/>
    </w:rPr>
  </w:style>
  <w:style w:type="paragraph" w:styleId="930">
    <w:name w:val="标题 8"/>
    <w:basedOn w:val="922"/>
    <w:next w:val="941"/>
    <w:link w:val="943"/>
    <w:qFormat/>
    <w:pPr>
      <w:keepLines/>
      <w:keepNext/>
      <w:spacing w:before="240" w:after="64" w:line="320" w:lineRule="auto"/>
      <w:outlineLvl w:val="7"/>
    </w:pPr>
    <w:rPr>
      <w:rFonts w:ascii="Arial" w:hAnsi="Arial" w:eastAsia="黑体"/>
      <w:sz w:val="24"/>
      <w:szCs w:val="20"/>
    </w:rPr>
  </w:style>
  <w:style w:type="paragraph" w:styleId="931">
    <w:name w:val="标题 9"/>
    <w:basedOn w:val="922"/>
    <w:next w:val="941"/>
    <w:link w:val="944"/>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32">
    <w:name w:val="默认段落字体"/>
    <w:next w:val="932"/>
    <w:link w:val="922"/>
    <w:rPr>
      <w:rFonts w:ascii="Times New Roman" w:hAnsi="Times New Roman" w:eastAsia="宋体" w:cs="Times New Roman"/>
    </w:rPr>
  </w:style>
  <w:style w:type="table" w:styleId="933">
    <w:name w:val="普通表格"/>
    <w:next w:val="933"/>
    <w:link w:val="922"/>
    <w:uiPriority w:val="99"/>
    <w:unhideWhenUsed/>
    <w:tblPr/>
  </w:style>
  <w:style w:type="character" w:styleId="934">
    <w:name w:val="标题 1 字符"/>
    <w:next w:val="934"/>
    <w:link w:val="923"/>
    <w:rPr>
      <w:rFonts w:ascii="Times New Roman" w:hAnsi="Times New Roman" w:eastAsia="楷体_GB2312" w:cs="Times New Roman"/>
      <w:b/>
      <w:sz w:val="44"/>
      <w:lang w:val="en-US" w:eastAsia="zh-CN" w:bidi="ar-SA"/>
    </w:rPr>
  </w:style>
  <w:style w:type="character" w:styleId="935">
    <w:name w:val="标题 2 字符"/>
    <w:next w:val="935"/>
    <w:link w:val="924"/>
    <w:rPr>
      <w:rFonts w:ascii="Arial" w:hAnsi="Arial" w:eastAsia="黑体" w:cs="Times New Roman"/>
      <w:b/>
      <w:bCs/>
      <w:sz w:val="32"/>
      <w:szCs w:val="32"/>
      <w:lang w:val="en-US" w:eastAsia="zh-CN" w:bidi="ar-SA"/>
    </w:rPr>
  </w:style>
  <w:style w:type="character" w:styleId="936">
    <w:name w:val="标题 3 字符"/>
    <w:next w:val="936"/>
    <w:link w:val="925"/>
    <w:rPr>
      <w:rFonts w:ascii="Times New Roman" w:hAnsi="Times New Roman" w:eastAsia="宋体" w:cs="Times New Roman"/>
      <w:b/>
      <w:bCs/>
      <w:sz w:val="32"/>
      <w:szCs w:val="32"/>
      <w:lang w:val="en-US" w:eastAsia="zh-CN" w:bidi="ar-SA"/>
    </w:rPr>
  </w:style>
  <w:style w:type="character" w:styleId="937">
    <w:name w:val="标题 4 字符"/>
    <w:next w:val="937"/>
    <w:link w:val="926"/>
    <w:rPr>
      <w:rFonts w:ascii="Cambria" w:hAnsi="Cambria" w:eastAsia="宋体" w:cs="Times New Roman"/>
      <w:b/>
      <w:bCs/>
      <w:sz w:val="28"/>
      <w:szCs w:val="28"/>
      <w:lang w:val="en-US" w:eastAsia="zh-CN" w:bidi="ar-SA"/>
    </w:rPr>
  </w:style>
  <w:style w:type="character" w:styleId="938">
    <w:name w:val="标题 5 字符"/>
    <w:next w:val="938"/>
    <w:link w:val="927"/>
    <w:rPr>
      <w:rFonts w:ascii="Calibri" w:hAnsi="Calibri" w:eastAsia="宋体" w:cs="Times New Roman"/>
      <w:b/>
      <w:bCs/>
      <w:sz w:val="28"/>
      <w:szCs w:val="28"/>
    </w:rPr>
  </w:style>
  <w:style w:type="character" w:styleId="939">
    <w:name w:val="标题 6 字符"/>
    <w:next w:val="939"/>
    <w:link w:val="928"/>
    <w:rPr>
      <w:rFonts w:ascii="宋体" w:hAnsi="宋体" w:eastAsia="宋体" w:cs="Times New Roman"/>
      <w:b/>
      <w:bCs/>
      <w:sz w:val="30"/>
      <w:szCs w:val="24"/>
    </w:rPr>
  </w:style>
  <w:style w:type="character" w:styleId="940">
    <w:name w:val="标题 7 字符"/>
    <w:next w:val="940"/>
    <w:link w:val="929"/>
    <w:rPr>
      <w:rFonts w:ascii="Times New Roman" w:hAnsi="Times New Roman" w:eastAsia="宋体" w:cs="Times New Roman"/>
      <w:b/>
      <w:sz w:val="24"/>
    </w:rPr>
  </w:style>
  <w:style w:type="paragraph" w:styleId="941">
    <w:name w:val="正文缩进"/>
    <w:basedOn w:val="922"/>
    <w:next w:val="941"/>
    <w:link w:val="942"/>
    <w:qFormat/>
    <w:pPr>
      <w:ind w:firstLine="420"/>
      <w:jc w:val="left"/>
    </w:pPr>
    <w:rPr>
      <w:rFonts w:ascii="Times New Roman" w:hAnsi="Times New Roman" w:eastAsia="楷体_GB2312"/>
      <w:sz w:val="24"/>
      <w:szCs w:val="20"/>
    </w:rPr>
  </w:style>
  <w:style w:type="character" w:styleId="942">
    <w:name w:val="正文缩进 字符1"/>
    <w:next w:val="942"/>
    <w:link w:val="941"/>
    <w:qFormat/>
    <w:rPr>
      <w:rFonts w:ascii="Times New Roman" w:hAnsi="Times New Roman" w:eastAsia="楷体_GB2312" w:cs="Times New Roman"/>
      <w:sz w:val="24"/>
      <w:lang w:val="en-US" w:eastAsia="zh-CN" w:bidi="ar-SA"/>
    </w:rPr>
  </w:style>
  <w:style w:type="character" w:styleId="943">
    <w:name w:val="标题 8 字符"/>
    <w:next w:val="943"/>
    <w:link w:val="930"/>
    <w:rPr>
      <w:rFonts w:ascii="Arial" w:hAnsi="Arial" w:eastAsia="黑体" w:cs="Times New Roman"/>
      <w:sz w:val="24"/>
    </w:rPr>
  </w:style>
  <w:style w:type="character" w:styleId="944">
    <w:name w:val="标题 9 字符"/>
    <w:next w:val="944"/>
    <w:link w:val="931"/>
    <w:rPr>
      <w:rFonts w:ascii="Arial" w:hAnsi="Arial" w:eastAsia="黑体" w:cs="Times New Roman"/>
      <w:sz w:val="21"/>
    </w:rPr>
  </w:style>
  <w:style w:type="paragraph" w:styleId="945">
    <w:name w:val="列表 3"/>
    <w:basedOn w:val="922"/>
    <w:next w:val="945"/>
    <w:link w:val="922"/>
    <w:pPr>
      <w:ind w:left="1260" w:hanging="420"/>
    </w:pPr>
    <w:rPr>
      <w:rFonts w:ascii="Times New Roman" w:hAnsi="Times New Roman" w:eastAsia="宋体" w:cs="Times New Roman"/>
      <w:szCs w:val="20"/>
    </w:rPr>
  </w:style>
  <w:style w:type="paragraph" w:styleId="946">
    <w:name w:val="目录 7"/>
    <w:basedOn w:val="922"/>
    <w:next w:val="922"/>
    <w:link w:val="922"/>
    <w:pPr>
      <w:ind w:left="2520"/>
    </w:pPr>
    <w:rPr>
      <w:rFonts w:ascii="Calibri" w:hAnsi="Calibri" w:eastAsia="宋体" w:cs="Times New Roman"/>
      <w:szCs w:val="22"/>
    </w:rPr>
  </w:style>
  <w:style w:type="paragraph" w:styleId="947">
    <w:name w:val="列表编号 2"/>
    <w:basedOn w:val="922"/>
    <w:next w:val="947"/>
    <w:link w:val="922"/>
    <w:pPr>
      <w:ind w:left="780" w:hanging="360"/>
      <w:keepNext/>
      <w:spacing w:line="360" w:lineRule="auto"/>
      <w:tabs>
        <w:tab w:val="left" w:pos="780" w:leader="none"/>
      </w:tabs>
    </w:pPr>
    <w:rPr>
      <w:rFonts w:ascii="Arial" w:hAnsi="Arial" w:eastAsia="宋体" w:cs="Times New Roman"/>
      <w:sz w:val="24"/>
      <w:szCs w:val="20"/>
    </w:rPr>
  </w:style>
  <w:style w:type="paragraph" w:styleId="948">
    <w:name w:val="列表编号"/>
    <w:basedOn w:val="922"/>
    <w:next w:val="948"/>
    <w:link w:val="922"/>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49">
    <w:name w:val="题注"/>
    <w:basedOn w:val="922"/>
    <w:next w:val="922"/>
    <w:link w:val="922"/>
    <w:qFormat/>
    <w:pPr>
      <w:spacing w:before="152" w:after="160"/>
    </w:pPr>
    <w:rPr>
      <w:rFonts w:ascii="Arial" w:hAnsi="Arial" w:eastAsia="黑体" w:cs="Arial"/>
      <w:sz w:val="20"/>
      <w:szCs w:val="20"/>
    </w:rPr>
  </w:style>
  <w:style w:type="paragraph" w:styleId="950">
    <w:name w:val="文档结构图"/>
    <w:basedOn w:val="922"/>
    <w:next w:val="950"/>
    <w:link w:val="951"/>
    <w:pPr>
      <w:shd w:val="clear" w:color="auto" w:fill="000080"/>
    </w:pPr>
    <w:rPr>
      <w:rFonts w:ascii="Times New Roman" w:hAnsi="Times New Roman"/>
      <w:szCs w:val="20"/>
    </w:rPr>
  </w:style>
  <w:style w:type="character" w:styleId="951">
    <w:name w:val="文档结构图 字符"/>
    <w:next w:val="951"/>
    <w:link w:val="950"/>
    <w:rPr>
      <w:rFonts w:ascii="Times New Roman" w:hAnsi="Times New Roman" w:eastAsia="宋体" w:cs="Times New Roman"/>
      <w:sz w:val="21"/>
      <w:shd w:val="clear" w:color="auto" w:fill="000080"/>
    </w:rPr>
  </w:style>
  <w:style w:type="paragraph" w:styleId="952">
    <w:name w:val="引文目录标题"/>
    <w:basedOn w:val="922"/>
    <w:next w:val="922"/>
    <w:link w:val="922"/>
    <w:pPr>
      <w:spacing w:before="120" w:line="312" w:lineRule="atLeast"/>
    </w:pPr>
    <w:rPr>
      <w:rFonts w:ascii="Arial" w:hAnsi="Arial" w:eastAsia="宋体" w:cs="Times New Roman"/>
      <w:b/>
      <w:sz w:val="24"/>
    </w:rPr>
  </w:style>
  <w:style w:type="paragraph" w:styleId="953">
    <w:name w:val="批注文字"/>
    <w:basedOn w:val="922"/>
    <w:next w:val="953"/>
    <w:link w:val="954"/>
    <w:pPr>
      <w:jc w:val="left"/>
    </w:pPr>
    <w:rPr>
      <w:rFonts w:ascii="Times New Roman" w:hAnsi="Times New Roman"/>
    </w:rPr>
  </w:style>
  <w:style w:type="character" w:styleId="954">
    <w:name w:val="批注文字 字符"/>
    <w:next w:val="954"/>
    <w:link w:val="953"/>
    <w:rPr>
      <w:rFonts w:ascii="Times New Roman" w:hAnsi="Times New Roman" w:eastAsia="宋体" w:cs="Times New Roman"/>
      <w:sz w:val="21"/>
      <w:szCs w:val="24"/>
    </w:rPr>
  </w:style>
  <w:style w:type="paragraph" w:styleId="955">
    <w:name w:val="正文文本 3"/>
    <w:basedOn w:val="922"/>
    <w:next w:val="955"/>
    <w:link w:val="956"/>
    <w:pPr>
      <w:spacing w:after="120"/>
    </w:pPr>
    <w:rPr>
      <w:rFonts w:ascii="Times New Roman" w:hAnsi="Times New Roman"/>
      <w:sz w:val="16"/>
      <w:szCs w:val="16"/>
    </w:rPr>
  </w:style>
  <w:style w:type="character" w:styleId="956">
    <w:name w:val="正文文本 3 字符"/>
    <w:next w:val="956"/>
    <w:link w:val="955"/>
    <w:rPr>
      <w:rFonts w:ascii="Times New Roman" w:hAnsi="Times New Roman" w:eastAsia="宋体" w:cs="Times New Roman"/>
      <w:sz w:val="16"/>
      <w:szCs w:val="16"/>
    </w:rPr>
  </w:style>
  <w:style w:type="paragraph" w:styleId="957">
    <w:name w:val="正文文本"/>
    <w:basedOn w:val="922"/>
    <w:next w:val="957"/>
    <w:link w:val="958"/>
    <w:pPr>
      <w:jc w:val="center"/>
    </w:pPr>
    <w:rPr>
      <w:rFonts w:ascii="方正大黑简体" w:hAnsi="Times New Roman" w:eastAsia="方正大黑简体"/>
      <w:position w:val="6"/>
      <w:sz w:val="30"/>
      <w:szCs w:val="20"/>
    </w:rPr>
  </w:style>
  <w:style w:type="character" w:styleId="958">
    <w:name w:val="正文文本 字符"/>
    <w:next w:val="958"/>
    <w:link w:val="957"/>
    <w:rPr>
      <w:rFonts w:ascii="方正大黑简体" w:hAnsi="Times New Roman" w:eastAsia="方正大黑简体" w:cs="Times New Roman"/>
      <w:position w:val="6"/>
      <w:sz w:val="30"/>
      <w:lang w:val="en-US" w:eastAsia="zh-CN" w:bidi="ar-SA"/>
    </w:rPr>
  </w:style>
  <w:style w:type="paragraph" w:styleId="959">
    <w:name w:val="正文文本缩进"/>
    <w:basedOn w:val="922"/>
    <w:next w:val="959"/>
    <w:link w:val="960"/>
    <w:pPr>
      <w:ind w:left="570"/>
      <w:spacing w:line="520" w:lineRule="exact"/>
    </w:pPr>
    <w:rPr>
      <w:rFonts w:ascii="方正仿宋简体" w:hAnsi="创艺简仿宋" w:eastAsia="方正仿宋简体"/>
      <w:sz w:val="24"/>
      <w:szCs w:val="20"/>
    </w:rPr>
  </w:style>
  <w:style w:type="character" w:styleId="960">
    <w:name w:val="正文文本缩进 字符"/>
    <w:next w:val="960"/>
    <w:link w:val="959"/>
    <w:rPr>
      <w:rFonts w:ascii="方正仿宋简体" w:hAnsi="创艺简仿宋" w:eastAsia="方正仿宋简体" w:cs="Times New Roman"/>
      <w:sz w:val="24"/>
      <w:lang w:val="en-US" w:eastAsia="zh-CN" w:bidi="ar-SA"/>
    </w:rPr>
  </w:style>
  <w:style w:type="paragraph" w:styleId="961">
    <w:name w:val="列表 2"/>
    <w:basedOn w:val="922"/>
    <w:next w:val="961"/>
    <w:link w:val="922"/>
    <w:pPr>
      <w:ind w:left="100" w:hanging="200"/>
    </w:pPr>
    <w:rPr>
      <w:rFonts w:ascii="Times New Roman" w:hAnsi="Times New Roman" w:eastAsia="宋体" w:cs="Times New Roman"/>
    </w:rPr>
  </w:style>
  <w:style w:type="paragraph" w:styleId="962">
    <w:name w:val="目录 5"/>
    <w:basedOn w:val="922"/>
    <w:next w:val="922"/>
    <w:link w:val="922"/>
    <w:pPr>
      <w:ind w:left="1680"/>
    </w:pPr>
    <w:rPr>
      <w:rFonts w:ascii="Calibri" w:hAnsi="Calibri" w:eastAsia="宋体" w:cs="Times New Roman"/>
      <w:szCs w:val="22"/>
    </w:rPr>
  </w:style>
  <w:style w:type="paragraph" w:styleId="963">
    <w:name w:val="目录 3"/>
    <w:basedOn w:val="922"/>
    <w:next w:val="922"/>
    <w:link w:val="922"/>
    <w:pPr>
      <w:ind w:left="840"/>
    </w:pPr>
    <w:rPr>
      <w:rFonts w:ascii="Times New Roman" w:hAnsi="Times New Roman" w:eastAsia="宋体" w:cs="Times New Roman"/>
    </w:rPr>
  </w:style>
  <w:style w:type="paragraph" w:styleId="964">
    <w:name w:val="纯文本"/>
    <w:basedOn w:val="922"/>
    <w:next w:val="964"/>
    <w:link w:val="965"/>
    <w:rPr>
      <w:rFonts w:ascii="宋体" w:hAnsi="Courier New" w:eastAsia="楷体_GB2312"/>
      <w:sz w:val="28"/>
      <w:szCs w:val="20"/>
    </w:rPr>
  </w:style>
  <w:style w:type="character" w:styleId="965">
    <w:name w:val="纯文本 字符"/>
    <w:next w:val="965"/>
    <w:link w:val="964"/>
    <w:rPr>
      <w:rFonts w:ascii="宋体" w:hAnsi="Courier New" w:eastAsia="楷体_GB2312" w:cs="Times New Roman"/>
      <w:sz w:val="28"/>
      <w:lang w:val="en-US" w:eastAsia="zh-CN" w:bidi="ar-SA"/>
    </w:rPr>
  </w:style>
  <w:style w:type="paragraph" w:styleId="966">
    <w:name w:val="目录 8"/>
    <w:basedOn w:val="922"/>
    <w:next w:val="922"/>
    <w:link w:val="922"/>
    <w:pPr>
      <w:ind w:left="2940"/>
    </w:pPr>
    <w:rPr>
      <w:rFonts w:ascii="Calibri" w:hAnsi="Calibri" w:eastAsia="宋体" w:cs="Times New Roman"/>
      <w:szCs w:val="22"/>
    </w:rPr>
  </w:style>
  <w:style w:type="paragraph" w:styleId="967">
    <w:name w:val="日期"/>
    <w:basedOn w:val="922"/>
    <w:next w:val="922"/>
    <w:link w:val="968"/>
    <w:rPr>
      <w:rFonts w:ascii="宋体" w:hAnsi="宋体" w:eastAsia="楷体_GB2312"/>
      <w:sz w:val="24"/>
      <w:szCs w:val="20"/>
    </w:rPr>
  </w:style>
  <w:style w:type="character" w:styleId="968">
    <w:name w:val="日期 字符"/>
    <w:next w:val="968"/>
    <w:link w:val="967"/>
    <w:rPr>
      <w:rFonts w:ascii="宋体" w:hAnsi="宋体" w:eastAsia="楷体_GB2312" w:cs="Times New Roman"/>
      <w:sz w:val="24"/>
    </w:rPr>
  </w:style>
  <w:style w:type="paragraph" w:styleId="969">
    <w:name w:val="正文文本缩进 2"/>
    <w:basedOn w:val="922"/>
    <w:next w:val="969"/>
    <w:link w:val="970"/>
    <w:pPr>
      <w:ind w:firstLine="540"/>
      <w:spacing w:line="360" w:lineRule="auto"/>
    </w:pPr>
    <w:rPr>
      <w:rFonts w:ascii="宋体" w:hAnsi="宋体"/>
      <w:sz w:val="24"/>
    </w:rPr>
  </w:style>
  <w:style w:type="character" w:styleId="970">
    <w:name w:val="正文文本缩进 2 字符"/>
    <w:next w:val="970"/>
    <w:link w:val="969"/>
    <w:rPr>
      <w:rFonts w:ascii="宋体" w:hAnsi="宋体" w:eastAsia="宋体" w:cs="Times New Roman"/>
      <w:sz w:val="24"/>
      <w:szCs w:val="24"/>
      <w:lang w:val="en-US" w:eastAsia="zh-CN" w:bidi="ar-SA"/>
    </w:rPr>
  </w:style>
  <w:style w:type="paragraph" w:styleId="971">
    <w:name w:val="批注框文本"/>
    <w:basedOn w:val="922"/>
    <w:next w:val="971"/>
    <w:link w:val="972"/>
    <w:rPr>
      <w:sz w:val="18"/>
      <w:szCs w:val="18"/>
    </w:rPr>
  </w:style>
  <w:style w:type="character" w:styleId="972">
    <w:name w:val="批注框文本 字符"/>
    <w:next w:val="972"/>
    <w:link w:val="971"/>
    <w:rPr>
      <w:rFonts w:ascii="Calibri" w:hAnsi="Calibri" w:eastAsia="宋体" w:cs="Times New Roman"/>
      <w:sz w:val="18"/>
      <w:szCs w:val="18"/>
      <w:lang w:val="en-US" w:eastAsia="zh-CN" w:bidi="ar-SA"/>
    </w:rPr>
  </w:style>
  <w:style w:type="paragraph" w:styleId="973">
    <w:name w:val="页脚"/>
    <w:basedOn w:val="922"/>
    <w:next w:val="973"/>
    <w:link w:val="974"/>
    <w:uiPriority w:val="99"/>
    <w:qFormat/>
    <w:pPr>
      <w:jc w:val="left"/>
      <w:tabs>
        <w:tab w:val="center" w:pos="4153" w:leader="none"/>
        <w:tab w:val="right" w:pos="8306" w:leader="none"/>
      </w:tabs>
    </w:pPr>
    <w:rPr>
      <w:rFonts w:ascii="Times New Roman" w:hAnsi="Times New Roman"/>
      <w:sz w:val="18"/>
      <w:szCs w:val="18"/>
    </w:rPr>
  </w:style>
  <w:style w:type="character" w:styleId="974">
    <w:name w:val="页脚 字符"/>
    <w:next w:val="974"/>
    <w:link w:val="973"/>
    <w:uiPriority w:val="99"/>
    <w:qFormat/>
    <w:rPr>
      <w:rFonts w:ascii="Times New Roman" w:hAnsi="Times New Roman" w:eastAsia="宋体" w:cs="Times New Roman"/>
      <w:sz w:val="18"/>
      <w:szCs w:val="18"/>
      <w:lang w:val="en-US" w:eastAsia="zh-CN" w:bidi="ar-SA"/>
    </w:rPr>
  </w:style>
  <w:style w:type="paragraph" w:styleId="975">
    <w:name w:val="页眉"/>
    <w:basedOn w:val="922"/>
    <w:next w:val="975"/>
    <w:link w:val="976"/>
    <w:uiPriority w:val="99"/>
    <w:qFormat/>
    <w:pPr>
      <w:jc w:val="center"/>
      <w:tabs>
        <w:tab w:val="center" w:pos="4153" w:leader="none"/>
        <w:tab w:val="right" w:pos="8306" w:leader="none"/>
      </w:tabs>
      <w:pBdr>
        <w:bottom w:val="single" w:color="000000" w:sz="6" w:space="1"/>
      </w:pBdr>
    </w:pPr>
    <w:rPr>
      <w:rFonts w:ascii="Times New Roman" w:hAnsi="Times New Roman" w:eastAsia="楷体_GB2312"/>
      <w:sz w:val="18"/>
      <w:szCs w:val="20"/>
    </w:rPr>
  </w:style>
  <w:style w:type="character" w:styleId="976">
    <w:name w:val="页眉 字符"/>
    <w:next w:val="976"/>
    <w:link w:val="975"/>
    <w:uiPriority w:val="99"/>
    <w:qFormat/>
    <w:rPr>
      <w:rFonts w:ascii="Times New Roman" w:hAnsi="Times New Roman" w:eastAsia="楷体_GB2312" w:cs="Times New Roman"/>
      <w:sz w:val="18"/>
      <w:lang w:val="en-US" w:eastAsia="zh-CN" w:bidi="ar-SA"/>
    </w:rPr>
  </w:style>
  <w:style w:type="paragraph" w:styleId="977">
    <w:name w:val="目录 1"/>
    <w:basedOn w:val="922"/>
    <w:next w:val="922"/>
    <w:link w:val="922"/>
    <w:uiPriority w:val="39"/>
    <w:pPr>
      <w:spacing w:line="360" w:lineRule="auto"/>
      <w:tabs>
        <w:tab w:val="right" w:pos="8296" w:leader="dot"/>
      </w:tabs>
    </w:pPr>
    <w:rPr>
      <w:rFonts w:ascii="宋体" w:hAnsi="宋体" w:eastAsia="宋体" w:cs="Times New Roman"/>
      <w:b/>
      <w:lang w:val="en-US" w:eastAsia="zh-CN"/>
    </w:rPr>
  </w:style>
  <w:style w:type="paragraph" w:styleId="978">
    <w:name w:val="列表接续 4"/>
    <w:basedOn w:val="922"/>
    <w:next w:val="978"/>
    <w:link w:val="922"/>
    <w:pPr>
      <w:ind w:left="1680"/>
      <w:spacing w:after="120"/>
    </w:pPr>
    <w:rPr>
      <w:rFonts w:ascii="Calibri" w:hAnsi="Calibri" w:eastAsia="宋体" w:cs="Times New Roman"/>
    </w:rPr>
  </w:style>
  <w:style w:type="paragraph" w:styleId="979">
    <w:name w:val="目录 4"/>
    <w:basedOn w:val="922"/>
    <w:next w:val="922"/>
    <w:link w:val="922"/>
    <w:pPr>
      <w:ind w:left="1260"/>
    </w:pPr>
    <w:rPr>
      <w:rFonts w:ascii="Calibri" w:hAnsi="Calibri" w:eastAsia="宋体" w:cs="Times New Roman"/>
      <w:szCs w:val="22"/>
    </w:rPr>
  </w:style>
  <w:style w:type="paragraph" w:styleId="980">
    <w:name w:val="索引标题"/>
    <w:basedOn w:val="922"/>
    <w:next w:val="981"/>
    <w:link w:val="922"/>
    <w:rPr>
      <w:rFonts w:ascii="Arial" w:hAnsi="Arial" w:eastAsia="宋体" w:cs="Arial"/>
      <w:b/>
      <w:bCs/>
    </w:rPr>
  </w:style>
  <w:style w:type="paragraph" w:styleId="981">
    <w:name w:val="索引 1"/>
    <w:basedOn w:val="922"/>
    <w:next w:val="922"/>
    <w:link w:val="922"/>
    <w:pPr>
      <w:jc w:val="center"/>
      <w:spacing w:line="270" w:lineRule="atLeast"/>
      <w:widowControl/>
    </w:pPr>
    <w:rPr>
      <w:rFonts w:ascii="宋体" w:hAnsi="宋体" w:eastAsia="宋体" w:cs="Times New Roman"/>
      <w:b/>
      <w:szCs w:val="18"/>
    </w:rPr>
  </w:style>
  <w:style w:type="paragraph" w:styleId="982">
    <w:name w:val="副标题"/>
    <w:basedOn w:val="922"/>
    <w:next w:val="922"/>
    <w:link w:val="983"/>
    <w:qFormat/>
    <w:pPr>
      <w:jc w:val="center"/>
      <w:spacing w:before="240" w:after="60" w:line="312" w:lineRule="auto"/>
      <w:outlineLvl w:val="1"/>
    </w:pPr>
    <w:rPr>
      <w:rFonts w:ascii="Cambria" w:hAnsi="Cambria"/>
      <w:b/>
      <w:bCs/>
      <w:sz w:val="32"/>
      <w:szCs w:val="32"/>
    </w:rPr>
  </w:style>
  <w:style w:type="character" w:styleId="983">
    <w:name w:val="副标题 字符"/>
    <w:next w:val="983"/>
    <w:link w:val="982"/>
    <w:rPr>
      <w:rFonts w:ascii="Cambria" w:hAnsi="Cambria" w:eastAsia="宋体" w:cs="Times New Roman"/>
      <w:b/>
      <w:bCs/>
      <w:sz w:val="32"/>
      <w:szCs w:val="32"/>
    </w:rPr>
  </w:style>
  <w:style w:type="paragraph" w:styleId="984">
    <w:name w:val="目录 6"/>
    <w:basedOn w:val="922"/>
    <w:next w:val="922"/>
    <w:link w:val="922"/>
    <w:pPr>
      <w:ind w:left="2100"/>
    </w:pPr>
    <w:rPr>
      <w:rFonts w:ascii="Calibri" w:hAnsi="Calibri" w:eastAsia="宋体" w:cs="Times New Roman"/>
      <w:szCs w:val="22"/>
    </w:rPr>
  </w:style>
  <w:style w:type="paragraph" w:styleId="985">
    <w:name w:val="正文文本缩进 3"/>
    <w:basedOn w:val="922"/>
    <w:next w:val="985"/>
    <w:link w:val="986"/>
    <w:pPr>
      <w:ind w:left="420"/>
      <w:spacing w:after="120"/>
    </w:pPr>
    <w:rPr>
      <w:rFonts w:ascii="Times New Roman" w:hAnsi="Times New Roman"/>
      <w:sz w:val="16"/>
      <w:szCs w:val="16"/>
    </w:rPr>
  </w:style>
  <w:style w:type="character" w:styleId="986">
    <w:name w:val="正文文本缩进 3 字符1"/>
    <w:next w:val="986"/>
    <w:link w:val="985"/>
    <w:rPr>
      <w:rFonts w:ascii="Times New Roman" w:hAnsi="Times New Roman" w:eastAsia="宋体" w:cs="Times New Roman"/>
      <w:sz w:val="16"/>
      <w:szCs w:val="16"/>
    </w:rPr>
  </w:style>
  <w:style w:type="paragraph" w:styleId="987">
    <w:name w:val="目录 2"/>
    <w:basedOn w:val="922"/>
    <w:next w:val="922"/>
    <w:link w:val="922"/>
    <w:uiPriority w:val="39"/>
    <w:pPr>
      <w:ind w:left="420"/>
    </w:pPr>
    <w:rPr>
      <w:rFonts w:ascii="Times New Roman" w:hAnsi="Times New Roman" w:eastAsia="宋体" w:cs="Times New Roman"/>
      <w:szCs w:val="20"/>
    </w:rPr>
  </w:style>
  <w:style w:type="paragraph" w:styleId="988">
    <w:name w:val="目录 9"/>
    <w:basedOn w:val="922"/>
    <w:next w:val="922"/>
    <w:link w:val="922"/>
    <w:pPr>
      <w:ind w:left="3360"/>
    </w:pPr>
    <w:rPr>
      <w:rFonts w:ascii="Calibri" w:hAnsi="Calibri" w:eastAsia="宋体" w:cs="Times New Roman"/>
      <w:szCs w:val="22"/>
    </w:rPr>
  </w:style>
  <w:style w:type="paragraph" w:styleId="989">
    <w:name w:val="正文文本 2"/>
    <w:basedOn w:val="922"/>
    <w:next w:val="989"/>
    <w:link w:val="990"/>
    <w:pPr>
      <w:ind w:firstLine="250"/>
      <w:spacing w:before="156" w:after="120" w:line="480" w:lineRule="auto"/>
    </w:pPr>
    <w:rPr>
      <w:rFonts w:ascii="Times New Roman" w:hAnsi="Times New Roman"/>
      <w:sz w:val="24"/>
    </w:rPr>
  </w:style>
  <w:style w:type="character" w:styleId="990">
    <w:name w:val="正文文本 2 字符"/>
    <w:next w:val="990"/>
    <w:link w:val="989"/>
    <w:rPr>
      <w:rFonts w:ascii="Times New Roman" w:hAnsi="Times New Roman" w:eastAsia="宋体" w:cs="Times New Roman"/>
      <w:sz w:val="24"/>
      <w:szCs w:val="24"/>
    </w:rPr>
  </w:style>
  <w:style w:type="paragraph" w:styleId="991">
    <w:name w:val="列表接续 2"/>
    <w:basedOn w:val="922"/>
    <w:next w:val="991"/>
    <w:link w:val="922"/>
    <w:pPr>
      <w:ind w:left="840"/>
      <w:spacing w:after="120"/>
    </w:pPr>
    <w:rPr>
      <w:rFonts w:ascii="Calibri" w:hAnsi="Calibri" w:eastAsia="宋体" w:cs="Times New Roman"/>
    </w:rPr>
  </w:style>
  <w:style w:type="paragraph" w:styleId="992">
    <w:name w:val="HTML 预设格式"/>
    <w:basedOn w:val="922"/>
    <w:next w:val="992"/>
    <w:link w:val="99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3">
    <w:name w:val="HTML 预设格式 字符"/>
    <w:next w:val="993"/>
    <w:link w:val="992"/>
    <w:rPr>
      <w:rFonts w:ascii="宋体" w:hAnsi="宋体" w:eastAsia="宋体" w:cs="宋体"/>
      <w:sz w:val="24"/>
      <w:szCs w:val="24"/>
    </w:rPr>
  </w:style>
  <w:style w:type="paragraph" w:styleId="994">
    <w:name w:val="普通(网站)"/>
    <w:basedOn w:val="922"/>
    <w:next w:val="994"/>
    <w:link w:val="922"/>
    <w:uiPriority w:val="99"/>
    <w:pPr>
      <w:jc w:val="left"/>
      <w:spacing w:before="100" w:beforeAutospacing="1" w:after="100" w:afterAutospacing="1"/>
      <w:widowControl/>
    </w:pPr>
    <w:rPr>
      <w:rFonts w:ascii="宋体" w:hAnsi="宋体" w:eastAsia="宋体" w:cs="宋体"/>
      <w:sz w:val="24"/>
    </w:rPr>
  </w:style>
  <w:style w:type="paragraph" w:styleId="995">
    <w:name w:val="标题"/>
    <w:basedOn w:val="922"/>
    <w:next w:val="995"/>
    <w:link w:val="996"/>
    <w:qFormat/>
    <w:pPr>
      <w:jc w:val="center"/>
      <w:spacing w:before="240" w:after="60" w:line="360" w:lineRule="auto"/>
      <w:outlineLvl w:val="0"/>
    </w:pPr>
    <w:rPr>
      <w:rFonts w:ascii="宋体" w:hAnsi="宋体"/>
      <w:b/>
      <w:bCs/>
      <w:sz w:val="32"/>
      <w:szCs w:val="32"/>
    </w:rPr>
  </w:style>
  <w:style w:type="character" w:styleId="996">
    <w:name w:val="标题 字符"/>
    <w:next w:val="996"/>
    <w:link w:val="995"/>
    <w:rPr>
      <w:rFonts w:ascii="宋体" w:hAnsi="宋体" w:eastAsia="宋体" w:cs="Arial"/>
      <w:b/>
      <w:bCs/>
      <w:sz w:val="32"/>
      <w:szCs w:val="32"/>
    </w:rPr>
  </w:style>
  <w:style w:type="paragraph" w:styleId="997">
    <w:name w:val="批注主题"/>
    <w:basedOn w:val="953"/>
    <w:next w:val="953"/>
    <w:link w:val="998"/>
    <w:rPr>
      <w:b/>
      <w:bCs/>
    </w:rPr>
  </w:style>
  <w:style w:type="character" w:styleId="998">
    <w:name w:val="批注主题 字符"/>
    <w:next w:val="998"/>
    <w:link w:val="997"/>
    <w:rPr>
      <w:rFonts w:ascii="Times New Roman" w:hAnsi="Times New Roman" w:eastAsia="宋体" w:cs="Times New Roman"/>
      <w:b/>
      <w:bCs/>
      <w:sz w:val="21"/>
      <w:szCs w:val="24"/>
    </w:rPr>
  </w:style>
  <w:style w:type="paragraph" w:styleId="999">
    <w:name w:val="正文首行缩进"/>
    <w:basedOn w:val="957"/>
    <w:next w:val="999"/>
    <w:link w:val="1000"/>
    <w:pPr>
      <w:ind w:firstLine="420"/>
      <w:jc w:val="both"/>
      <w:spacing w:before="156" w:after="120" w:line="300" w:lineRule="auto"/>
    </w:pPr>
    <w:rPr>
      <w:sz w:val="24"/>
      <w:szCs w:val="24"/>
    </w:rPr>
  </w:style>
  <w:style w:type="character" w:styleId="1000">
    <w:name w:val="正文文本首行缩进 字符"/>
    <w:next w:val="1000"/>
    <w:link w:val="999"/>
    <w:rPr>
      <w:rFonts w:ascii="方正大黑简体" w:hAnsi="Times New Roman" w:eastAsia="方正大黑简体" w:cs="Times New Roman"/>
      <w:position w:val="6"/>
      <w:sz w:val="24"/>
      <w:szCs w:val="24"/>
      <w:lang w:val="en-US" w:eastAsia="zh-CN" w:bidi="ar-SA"/>
    </w:rPr>
  </w:style>
  <w:style w:type="paragraph" w:styleId="1001">
    <w:name w:val="正文首行缩进 2"/>
    <w:basedOn w:val="959"/>
    <w:next w:val="1001"/>
    <w:link w:val="1002"/>
    <w:pPr>
      <w:ind w:left="420" w:firstLine="420"/>
      <w:spacing w:after="120" w:line="240" w:lineRule="auto"/>
    </w:pPr>
    <w:rPr>
      <w:rFonts w:ascii="Tahoma" w:hAnsi="Tahoma"/>
      <w:sz w:val="21"/>
      <w:szCs w:val="24"/>
    </w:rPr>
  </w:style>
  <w:style w:type="character" w:styleId="1002">
    <w:name w:val="正文文本首行缩进 2 字符"/>
    <w:next w:val="1002"/>
    <w:link w:val="1001"/>
    <w:rPr>
      <w:rFonts w:ascii="Tahoma" w:hAnsi="Tahoma" w:eastAsia="方正仿宋简体" w:cs="Times New Roman"/>
      <w:sz w:val="21"/>
      <w:szCs w:val="24"/>
      <w:lang w:val="en-US" w:eastAsia="zh-CN" w:bidi="ar-SA"/>
    </w:rPr>
  </w:style>
  <w:style w:type="character" w:styleId="1003">
    <w:name w:val="要点"/>
    <w:next w:val="1003"/>
    <w:link w:val="922"/>
    <w:qFormat/>
    <w:rPr>
      <w:rFonts w:ascii="Times New Roman" w:hAnsi="Times New Roman" w:eastAsia="宋体" w:cs="Times New Roman"/>
      <w:b/>
      <w:bCs/>
    </w:rPr>
  </w:style>
  <w:style w:type="character" w:styleId="1004">
    <w:name w:val="页码"/>
    <w:next w:val="1004"/>
    <w:link w:val="922"/>
    <w:rPr>
      <w:rFonts w:ascii="Times New Roman" w:hAnsi="Times New Roman" w:eastAsia="宋体" w:cs="Times New Roman"/>
    </w:rPr>
  </w:style>
  <w:style w:type="character" w:styleId="1005">
    <w:name w:val="已访问的超链接"/>
    <w:next w:val="1005"/>
    <w:link w:val="922"/>
    <w:rPr>
      <w:rFonts w:ascii="Times New Roman" w:hAnsi="Times New Roman" w:eastAsia="宋体" w:cs="Times New Roman"/>
      <w:color w:val="800080"/>
      <w:u w:val="single"/>
    </w:rPr>
  </w:style>
  <w:style w:type="character" w:styleId="1006">
    <w:name w:val="强调"/>
    <w:next w:val="1006"/>
    <w:link w:val="922"/>
    <w:uiPriority w:val="20"/>
    <w:qFormat/>
    <w:rPr>
      <w:rFonts w:ascii="Times New Roman" w:hAnsi="Times New Roman" w:eastAsia="宋体" w:cs="Times New Roman"/>
      <w:b/>
      <w:bCs/>
      <w:i w:val="0"/>
      <w:iCs w:val="0"/>
    </w:rPr>
  </w:style>
  <w:style w:type="character" w:styleId="1007">
    <w:name w:val="HTML 打字机"/>
    <w:next w:val="1007"/>
    <w:link w:val="922"/>
    <w:rPr>
      <w:rFonts w:ascii="黑体" w:hAnsi="Courier New" w:eastAsia="黑体" w:cs="Courier New"/>
      <w:sz w:val="14"/>
      <w:szCs w:val="14"/>
    </w:rPr>
  </w:style>
  <w:style w:type="character" w:styleId="1008">
    <w:name w:val="超链接"/>
    <w:next w:val="1008"/>
    <w:link w:val="922"/>
    <w:uiPriority w:val="99"/>
    <w:rPr>
      <w:rFonts w:ascii="Times New Roman" w:hAnsi="Times New Roman" w:eastAsia="宋体" w:cs="Times New Roman"/>
      <w:color w:val="0000ff"/>
      <w:u w:val="single"/>
    </w:rPr>
  </w:style>
  <w:style w:type="character" w:styleId="1009">
    <w:name w:val="批注引用"/>
    <w:next w:val="1009"/>
    <w:link w:val="922"/>
    <w:rPr>
      <w:rFonts w:ascii="Times New Roman" w:hAnsi="Times New Roman" w:eastAsia="宋体" w:cs="Times New Roman"/>
      <w:sz w:val="21"/>
      <w:szCs w:val="21"/>
    </w:rPr>
  </w:style>
  <w:style w:type="character" w:styleId="1010">
    <w:name w:val="Formatvorlage Formatvorlage Links:  0&quot; Hängend:  13.5 ch + MingLiU Zchn"/>
    <w:next w:val="1010"/>
    <w:link w:val="1011"/>
    <w:rPr>
      <w:rFonts w:ascii="Arial" w:hAnsi="Arial" w:eastAsia="Times New Roman" w:cs="Times New Roman"/>
      <w:sz w:val="24"/>
    </w:rPr>
  </w:style>
  <w:style w:type="paragraph" w:styleId="1011">
    <w:name w:val="Formatvorlage Formatvorlage Links:  0&quot; Hängend:  13.5 ch + MingLiU"/>
    <w:basedOn w:val="922"/>
    <w:next w:val="1011"/>
    <w:link w:val="1010"/>
    <w:pPr>
      <w:ind w:left="3240" w:hanging="3240"/>
    </w:pPr>
    <w:rPr>
      <w:rFonts w:ascii="Arial" w:hAnsi="Arial" w:eastAsia="Times New Roman"/>
      <w:sz w:val="24"/>
      <w:szCs w:val="20"/>
    </w:rPr>
  </w:style>
  <w:style w:type="character" w:styleId="1012">
    <w:name w:val="para"/>
    <w:next w:val="1012"/>
    <w:link w:val="922"/>
    <w:rPr>
      <w:rFonts w:ascii="Times New Roman" w:hAnsi="Times New Roman" w:eastAsia="宋体" w:cs="Times New Roman"/>
    </w:rPr>
  </w:style>
  <w:style w:type="character" w:styleId="1013">
    <w:name w:val="方案正文 Char"/>
    <w:next w:val="1013"/>
    <w:link w:val="1014"/>
    <w:rPr>
      <w:rFonts w:ascii="Times New Roman" w:hAnsi="Times New Roman" w:eastAsia="宋体" w:cs="Times New Roman"/>
      <w:sz w:val="24"/>
      <w:szCs w:val="24"/>
    </w:rPr>
  </w:style>
  <w:style w:type="paragraph" w:styleId="1014">
    <w:name w:val="方案正文"/>
    <w:basedOn w:val="922"/>
    <w:next w:val="1014"/>
    <w:link w:val="1013"/>
    <w:pPr>
      <w:spacing w:line="360" w:lineRule="auto"/>
    </w:pPr>
    <w:rPr>
      <w:rFonts w:ascii="Times New Roman" w:hAnsi="Times New Roman"/>
      <w:sz w:val="24"/>
    </w:rPr>
  </w:style>
  <w:style w:type="character" w:styleId="1015">
    <w:name w:val="indetail1"/>
    <w:next w:val="1015"/>
    <w:link w:val="922"/>
    <w:rPr>
      <w:rFonts w:ascii="Times New Roman" w:hAnsi="Times New Roman" w:eastAsia="宋体" w:cs="Times New Roman"/>
      <w:sz w:val="18"/>
      <w:szCs w:val="18"/>
    </w:rPr>
  </w:style>
  <w:style w:type="character" w:styleId="1016">
    <w:name w:val="Default Char"/>
    <w:next w:val="1016"/>
    <w:link w:val="1017"/>
    <w:rPr>
      <w:rFonts w:ascii="Futura Heavy" w:eastAsia="Futura Heavy"/>
      <w:color w:val="000000"/>
      <w:sz w:val="24"/>
      <w:szCs w:val="24"/>
      <w:lang w:val="en-US" w:eastAsia="zh-CN" w:bidi="ar-SA"/>
    </w:rPr>
  </w:style>
  <w:style w:type="paragraph" w:styleId="1017">
    <w:name w:val="Default"/>
    <w:next w:val="1017"/>
    <w:link w:val="1016"/>
    <w:pPr>
      <w:widowControl w:val="off"/>
    </w:pPr>
    <w:rPr>
      <w:rFonts w:ascii="Futura Heavy" w:eastAsia="Futura Heavy"/>
      <w:color w:val="000000"/>
      <w:sz w:val="24"/>
      <w:szCs w:val="24"/>
      <w:lang w:val="en-US" w:eastAsia="zh-CN" w:bidi="ar-SA"/>
    </w:rPr>
  </w:style>
  <w:style w:type="character" w:styleId="1018">
    <w:name w:val="content021"/>
    <w:next w:val="1018"/>
    <w:link w:val="922"/>
    <w:rPr>
      <w:rFonts w:ascii="Tahoma" w:hAnsi="Tahoma" w:eastAsia="宋体" w:cs="Times New Roman"/>
      <w:sz w:val="24"/>
      <w:szCs w:val="24"/>
      <w:lang w:val="en-US" w:eastAsia="zh-CN" w:bidi="ar-SA"/>
    </w:rPr>
  </w:style>
  <w:style w:type="character" w:styleId="1019">
    <w:name w:val="rmv1"/>
    <w:next w:val="1019"/>
    <w:link w:val="922"/>
    <w:rPr>
      <w:rFonts w:ascii="Times New Roman" w:hAnsi="Times New Roman" w:eastAsia="宋体" w:cs="Times New Roman"/>
      <w:vanish w:val="0"/>
    </w:rPr>
  </w:style>
  <w:style w:type="character" w:styleId="1020">
    <w:name w:val="加点正文缩进 Char"/>
    <w:next w:val="1020"/>
    <w:link w:val="1021"/>
    <w:rPr>
      <w:rFonts w:ascii="宋体" w:hAnsi="宋体" w:eastAsia="宋体" w:cs="Times New Roman"/>
      <w:sz w:val="24"/>
      <w:szCs w:val="24"/>
    </w:rPr>
  </w:style>
  <w:style w:type="paragraph" w:styleId="1021">
    <w:name w:val="加点正文缩进"/>
    <w:basedOn w:val="922"/>
    <w:next w:val="1021"/>
    <w:link w:val="1020"/>
    <w:pPr>
      <w:ind w:left="840" w:hanging="420"/>
      <w:spacing w:line="300" w:lineRule="auto"/>
      <w:tabs>
        <w:tab w:val="left" w:pos="840" w:leader="none"/>
      </w:tabs>
    </w:pPr>
    <w:rPr>
      <w:rFonts w:ascii="宋体" w:hAnsi="宋体"/>
      <w:sz w:val="24"/>
    </w:rPr>
  </w:style>
  <w:style w:type="character" w:styleId="1022">
    <w:name w:val="Char Char2"/>
    <w:next w:val="1022"/>
    <w:link w:val="922"/>
    <w:rPr>
      <w:rFonts w:ascii="Cambria" w:hAnsi="Cambria" w:eastAsia="宋体" w:cs="Times New Roman"/>
      <w:b/>
      <w:bCs/>
      <w:sz w:val="24"/>
      <w:szCs w:val="24"/>
    </w:rPr>
  </w:style>
  <w:style w:type="character" w:styleId="1023">
    <w:name w:val="maywed421"/>
    <w:next w:val="1023"/>
    <w:link w:val="922"/>
    <w:rPr>
      <w:rFonts w:ascii="Times New Roman" w:hAnsi="Times New Roman" w:eastAsia="宋体" w:cs="Times New Roman"/>
      <w:color w:val="366fb6"/>
      <w:u w:val="none"/>
    </w:rPr>
  </w:style>
  <w:style w:type="character" w:styleId="1024">
    <w:name w:val="日期 Char1"/>
    <w:next w:val="1024"/>
    <w:link w:val="922"/>
    <w:rPr>
      <w:rFonts w:ascii="Times New Roman" w:hAnsi="Times New Roman" w:eastAsia="宋体" w:cs="Times New Roman"/>
      <w:sz w:val="21"/>
      <w:szCs w:val="24"/>
    </w:rPr>
  </w:style>
  <w:style w:type="character" w:styleId="1025">
    <w:name w:val="正文缩进 Char1"/>
    <w:next w:val="1025"/>
    <w:link w:val="922"/>
    <w:rPr>
      <w:rFonts w:ascii="Times New Roman" w:hAnsi="Times New Roman" w:eastAsia="楷体_GB2312" w:cs="Times New Roman"/>
      <w:sz w:val="24"/>
      <w:lang w:bidi="ar-SA"/>
    </w:rPr>
  </w:style>
  <w:style w:type="character" w:styleId="1026">
    <w:name w:val="font-12"/>
    <w:next w:val="1026"/>
    <w:link w:val="922"/>
    <w:rPr>
      <w:rFonts w:ascii="Times New Roman" w:hAnsi="Times New Roman" w:eastAsia="宋体" w:cs="Times New Roman"/>
    </w:rPr>
  </w:style>
  <w:style w:type="character" w:styleId="1027">
    <w:name w:val="zi61"/>
    <w:next w:val="1027"/>
    <w:link w:val="922"/>
    <w:rPr>
      <w:rFonts w:ascii="Times New Roman" w:hAnsi="Times New Roman" w:eastAsia="宋体" w:cs="Times New Roman"/>
      <w:b/>
      <w:bCs/>
      <w:color w:val="ff0000"/>
      <w:sz w:val="24"/>
      <w:szCs w:val="24"/>
      <w:u w:val="none"/>
    </w:rPr>
  </w:style>
  <w:style w:type="character" w:styleId="1028">
    <w:name w:val="标题 1 Char,南通标题 1 Char,章 Char,章节标题 Char,Heading One Char"/>
    <w:next w:val="1028"/>
    <w:link w:val="922"/>
    <w:rPr>
      <w:rFonts w:ascii="Times New Roman" w:hAnsi="Times New Roman" w:eastAsia="宋体" w:cs="Times New Roman"/>
      <w:b/>
      <w:bCs/>
      <w:sz w:val="44"/>
      <w:szCs w:val="44"/>
    </w:rPr>
  </w:style>
  <w:style w:type="character" w:styleId="1029">
    <w:name w:val="标题 6 Char1,H6 Char,Bullet list Char,第五层条 Char,BOD 4 Char,h6 Char,Third Subheading Char,PIM 6 Char,Legal Level 1. Char,L6 Char,正文六级标题 Char,Bullet (Single Lines) Char,(I) Char,•H6 Char,Ref Heading 3 Char,rh3 Char,Ref Heading 31 Char,rh31 Char,H61 Char"/>
    <w:next w:val="1029"/>
    <w:link w:val="922"/>
    <w:rPr>
      <w:rFonts w:ascii="Cambria" w:hAnsi="Cambria" w:eastAsia="宋体" w:cs="Times New Roman"/>
      <w:b/>
      <w:bCs/>
      <w:sz w:val="24"/>
      <w:szCs w:val="24"/>
    </w:rPr>
  </w:style>
  <w:style w:type="character" w:styleId="1030">
    <w:name w:val="NICMAN Body Text Char Char"/>
    <w:next w:val="1030"/>
    <w:link w:val="922"/>
    <w:rPr>
      <w:rFonts w:ascii="方正大黑简体" w:hAnsi="Times New Roman" w:eastAsia="方正大黑简体" w:cs="Times New Roman"/>
      <w:position w:val="6"/>
      <w:sz w:val="30"/>
      <w:lang w:val="en-US" w:eastAsia="zh-CN" w:bidi="ar-SA"/>
    </w:rPr>
  </w:style>
  <w:style w:type="character" w:styleId="1031">
    <w:name w:val="lh201"/>
    <w:next w:val="1031"/>
    <w:link w:val="922"/>
    <w:rPr>
      <w:rFonts w:ascii="Times New Roman" w:hAnsi="Times New Roman" w:eastAsia="宋体" w:cs="Times New Roman"/>
      <w:color w:val="666666"/>
    </w:rPr>
  </w:style>
  <w:style w:type="character" w:styleId="1032">
    <w:name w:val="unnamed31"/>
    <w:next w:val="1032"/>
    <w:link w:val="922"/>
    <w:rPr>
      <w:rFonts w:hint="eastAsia" w:ascii="宋体" w:hAnsi="宋体" w:eastAsia="宋体" w:cs="Times New Roman"/>
      <w:i w:val="0"/>
      <w:iCs w:val="0"/>
      <w:color w:val="000099"/>
      <w:spacing w:val="0"/>
      <w:sz w:val="18"/>
      <w:szCs w:val="18"/>
      <w:u w:val="none"/>
    </w:rPr>
  </w:style>
  <w:style w:type="character" w:styleId="1033">
    <w:name w:val="style2 style26"/>
    <w:next w:val="1033"/>
    <w:link w:val="922"/>
    <w:rPr>
      <w:rFonts w:ascii="Times New Roman" w:hAnsi="Times New Roman" w:eastAsia="宋体" w:cs="Times New Roman"/>
    </w:rPr>
  </w:style>
  <w:style w:type="character" w:styleId="1034">
    <w:name w:val="digest1"/>
    <w:next w:val="1034"/>
    <w:link w:val="922"/>
    <w:rPr>
      <w:rFonts w:ascii="Times New Roman" w:hAnsi="Times New Roman" w:eastAsia="宋体" w:cs="Times New Roman"/>
      <w:color w:val="3a4343"/>
      <w:sz w:val="20"/>
      <w:lang w:val="en-US" w:eastAsia="zh-CN"/>
    </w:rPr>
  </w:style>
  <w:style w:type="character" w:styleId="1035">
    <w:name w:val="不用8 Char,注意框体 Char,标题6 Char,Legal Level 1.1.1. Char,表 Char,（A） Char,h8 Char,Alt+8 Char,AppendixSubHead Char,正文八级标题 Char Char"/>
    <w:next w:val="1035"/>
    <w:link w:val="922"/>
    <w:rPr>
      <w:rFonts w:ascii="Arial" w:hAnsi="Arial" w:eastAsia="黑体" w:cs="Times New Roman"/>
      <w:sz w:val="24"/>
      <w:szCs w:val="24"/>
      <w:lang w:bidi="he-IL"/>
    </w:rPr>
  </w:style>
  <w:style w:type="character" w:styleId="1036">
    <w:name w:val="普通 (Web) Char Char Char"/>
    <w:next w:val="1036"/>
    <w:link w:val="922"/>
    <w:rPr>
      <w:rFonts w:ascii="Times New Roman" w:hAnsi="Times New Roman" w:eastAsia="宋体" w:cs="Times New Roman"/>
      <w:sz w:val="24"/>
      <w:lang w:val="en-US" w:eastAsia="zh-CN"/>
    </w:rPr>
  </w:style>
  <w:style w:type="character" w:styleId="1037">
    <w:name w:val="11"/>
    <w:next w:val="1037"/>
    <w:link w:val="922"/>
    <w:rPr>
      <w:rFonts w:ascii="Times New Roman" w:hAnsi="Times New Roman" w:eastAsia="宋体" w:cs="Times New Roman"/>
      <w:sz w:val="36"/>
      <w:szCs w:val="36"/>
    </w:rPr>
  </w:style>
  <w:style w:type="character" w:styleId="1038">
    <w:name w:val="hang1"/>
    <w:next w:val="1038"/>
    <w:link w:val="922"/>
    <w:rPr>
      <w:rFonts w:ascii="Times New Roman" w:hAnsi="Times New Roman" w:eastAsia="宋体" w:cs="Times New Roman"/>
    </w:rPr>
  </w:style>
  <w:style w:type="character" w:styleId="1039">
    <w:name w:val="正文文本缩进 3 Char1"/>
    <w:next w:val="1039"/>
    <w:link w:val="922"/>
    <w:rPr>
      <w:rFonts w:ascii="Times New Roman" w:hAnsi="Times New Roman" w:eastAsia="宋体" w:cs="Times New Roman"/>
      <w:sz w:val="16"/>
      <w:szCs w:val="16"/>
    </w:rPr>
  </w:style>
  <w:style w:type="character" w:styleId="1040">
    <w:name w:val="标题 2 Char Char"/>
    <w:next w:val="1040"/>
    <w:link w:val="922"/>
    <w:rPr>
      <w:rFonts w:ascii="Arial" w:hAnsi="Arial" w:eastAsia="黑体" w:cs="Times New Roman"/>
      <w:b/>
      <w:spacing w:val="-6"/>
      <w:sz w:val="30"/>
      <w:szCs w:val="32"/>
      <w:lang w:val="en-US" w:eastAsia="zh-CN" w:bidi="ar-SA"/>
    </w:rPr>
  </w:style>
  <w:style w:type="character" w:styleId="1041">
    <w:name w:val="info4"/>
    <w:next w:val="1041"/>
    <w:link w:val="922"/>
    <w:rPr>
      <w:rFonts w:ascii="Times New Roman" w:hAnsi="Times New Roman" w:eastAsia="宋体" w:cs="Times New Roman"/>
    </w:rPr>
  </w:style>
  <w:style w:type="character" w:styleId="1042">
    <w:name w:val="unnamed101"/>
    <w:next w:val="1042"/>
    <w:link w:val="922"/>
    <w:rPr>
      <w:rFonts w:ascii="Times New Roman" w:hAnsi="Times New Roman" w:eastAsia="宋体" w:cs="Times New Roman"/>
      <w:sz w:val="20"/>
      <w:szCs w:val="20"/>
    </w:rPr>
  </w:style>
  <w:style w:type="character" w:styleId="1043">
    <w:name w:val="unnamed2"/>
    <w:next w:val="1043"/>
    <w:link w:val="922"/>
    <w:rPr>
      <w:rFonts w:ascii="Times New Roman" w:hAnsi="Times New Roman" w:eastAsia="宋体" w:cs="Times New Roman"/>
    </w:rPr>
  </w:style>
  <w:style w:type="character" w:styleId="1044">
    <w:name w:val="+正文 Char3"/>
    <w:next w:val="1044"/>
    <w:link w:val="1045"/>
    <w:rPr>
      <w:rFonts w:ascii="Tahoma" w:hAnsi="Tahoma" w:eastAsia="宋体" w:cs="Times New Roman"/>
      <w:sz w:val="24"/>
      <w:szCs w:val="28"/>
    </w:rPr>
  </w:style>
  <w:style w:type="paragraph" w:styleId="1045">
    <w:name w:val="+正文"/>
    <w:basedOn w:val="922"/>
    <w:next w:val="1045"/>
    <w:link w:val="1044"/>
    <w:pPr>
      <w:ind w:firstLine="200"/>
      <w:spacing w:line="360" w:lineRule="auto"/>
    </w:pPr>
    <w:rPr>
      <w:rFonts w:ascii="Tahoma" w:hAnsi="Tahoma"/>
      <w:sz w:val="24"/>
      <w:szCs w:val="28"/>
    </w:rPr>
  </w:style>
  <w:style w:type="character" w:styleId="1046">
    <w:name w:val="*正文 Char"/>
    <w:next w:val="1046"/>
    <w:link w:val="1047"/>
    <w:rPr>
      <w:rFonts w:ascii="宋体" w:hAnsi="宋体" w:eastAsia="宋体" w:cs="Times New Roman"/>
      <w:sz w:val="21"/>
      <w:szCs w:val="24"/>
    </w:rPr>
  </w:style>
  <w:style w:type="paragraph" w:styleId="1047">
    <w:name w:val="*正文"/>
    <w:basedOn w:val="922"/>
    <w:next w:val="1047"/>
    <w:link w:val="1046"/>
    <w:pPr>
      <w:ind w:firstLine="480"/>
      <w:spacing w:line="300" w:lineRule="auto"/>
    </w:pPr>
    <w:rPr>
      <w:rFonts w:ascii="宋体" w:hAnsi="宋体"/>
    </w:rPr>
  </w:style>
  <w:style w:type="character" w:styleId="1048">
    <w:name w:val="s"/>
    <w:next w:val="1048"/>
    <w:link w:val="922"/>
    <w:rPr>
      <w:rFonts w:ascii="Times New Roman" w:hAnsi="Times New Roman" w:eastAsia="宋体" w:cs="Times New Roman"/>
    </w:rPr>
  </w:style>
  <w:style w:type="character" w:styleId="1049">
    <w:name w:val="fontstyle01"/>
    <w:next w:val="1049"/>
    <w:link w:val="922"/>
    <w:rPr>
      <w:rFonts w:hint="eastAsia" w:ascii="宋体" w:hAnsi="宋体" w:eastAsia="宋体" w:cs="Times New Roman"/>
      <w:b w:val="0"/>
      <w:bCs w:val="0"/>
      <w:i w:val="0"/>
      <w:iCs w:val="0"/>
      <w:color w:val="000000"/>
      <w:sz w:val="24"/>
      <w:szCs w:val="24"/>
    </w:rPr>
  </w:style>
  <w:style w:type="character" w:styleId="1050">
    <w:name w:val="第一章 标题 2 Char Char,Heading 2 Hidden Char Char,Heading 2 CCBS Char Char,heading 2 Char Char,H2 Char Char,h2 Char Char,PIM2 Char Char,Titre3 Char Char,HD2 Char Char,sect 1.2 Char Char,H21 Char Char,sect 1.21 Char Char,H22 Char Char,sect 1.22 Char Char"/>
    <w:next w:val="1050"/>
    <w:link w:val="922"/>
    <w:rPr>
      <w:rFonts w:ascii="Arial" w:hAnsi="Arial" w:eastAsia="黑体" w:cs="Times New Roman"/>
      <w:b/>
      <w:bCs/>
      <w:sz w:val="32"/>
      <w:szCs w:val="32"/>
    </w:rPr>
  </w:style>
  <w:style w:type="character" w:styleId="1051">
    <w:name w:val="Char Char5"/>
    <w:next w:val="1051"/>
    <w:link w:val="922"/>
    <w:rPr>
      <w:rFonts w:ascii="Times New Roman" w:hAnsi="Times New Roman" w:eastAsia="宋体" w:cs="Times New Roman"/>
      <w:b/>
      <w:bCs/>
      <w:sz w:val="32"/>
      <w:szCs w:val="32"/>
    </w:rPr>
  </w:style>
  <w:style w:type="character" w:styleId="1052">
    <w:name w:val="Plain Text Char Char"/>
    <w:next w:val="1052"/>
    <w:link w:val="1053"/>
    <w:rPr>
      <w:rFonts w:ascii="宋体" w:hAnsi="Courier New" w:eastAsia="楷体_GB2312" w:cs="Times New Roman"/>
      <w:sz w:val="28"/>
    </w:rPr>
  </w:style>
  <w:style w:type="paragraph" w:styleId="1053">
    <w:name w:val="纯文本1"/>
    <w:basedOn w:val="922"/>
    <w:next w:val="1053"/>
    <w:link w:val="1052"/>
    <w:qFormat/>
    <w:rPr>
      <w:rFonts w:ascii="宋体" w:hAnsi="Courier New" w:eastAsia="楷体_GB2312"/>
      <w:sz w:val="28"/>
      <w:szCs w:val="20"/>
    </w:rPr>
  </w:style>
  <w:style w:type="character" w:styleId="1054">
    <w:name w:val="Char Char3"/>
    <w:next w:val="1054"/>
    <w:link w:val="922"/>
    <w:rPr>
      <w:rFonts w:ascii="Times New Roman" w:hAnsi="Times New Roman" w:eastAsia="宋体" w:cs="Times New Roman"/>
      <w:b/>
      <w:bCs/>
      <w:sz w:val="28"/>
      <w:szCs w:val="28"/>
    </w:rPr>
  </w:style>
  <w:style w:type="character" w:styleId="1055">
    <w:name w:val="wenzi41"/>
    <w:next w:val="1055"/>
    <w:link w:val="922"/>
    <w:rPr>
      <w:rFonts w:ascii="Times New Roman" w:hAnsi="Times New Roman" w:eastAsia="宋体" w:cs="Times New Roman"/>
      <w:b/>
      <w:bCs/>
      <w:color w:val="c52900"/>
      <w:sz w:val="18"/>
      <w:szCs w:val="18"/>
      <w:u w:val="none"/>
    </w:rPr>
  </w:style>
  <w:style w:type="character" w:styleId="1056">
    <w:name w:val="p_inzi1"/>
    <w:next w:val="1056"/>
    <w:link w:val="922"/>
    <w:rPr>
      <w:rFonts w:ascii="Times New Roman" w:hAnsi="Times New Roman" w:eastAsia="宋体" w:cs="Times New Roman"/>
      <w:color w:val="171717"/>
      <w:sz w:val="17"/>
      <w:szCs w:val="17"/>
    </w:rPr>
  </w:style>
  <w:style w:type="character" w:styleId="1057">
    <w:name w:val="不明显强调"/>
    <w:next w:val="1057"/>
    <w:link w:val="922"/>
    <w:qFormat/>
    <w:rPr>
      <w:rFonts w:ascii="Times New Roman" w:hAnsi="Times New Roman" w:eastAsia="宋体" w:cs="Times New Roman"/>
      <w:i/>
      <w:iCs/>
      <w:color w:val="808080"/>
    </w:rPr>
  </w:style>
  <w:style w:type="character" w:styleId="1058">
    <w:name w:val="ca-1"/>
    <w:next w:val="1058"/>
    <w:link w:val="922"/>
    <w:rPr>
      <w:rFonts w:ascii="Times New Roman" w:hAnsi="Times New Roman" w:eastAsia="宋体" w:cs="Times New Roman"/>
    </w:rPr>
  </w:style>
  <w:style w:type="character" w:styleId="1059">
    <w:name w:val="t31"/>
    <w:next w:val="1059"/>
    <w:link w:val="922"/>
    <w:rPr>
      <w:sz w:val="21"/>
      <w:szCs w:val="21"/>
    </w:rPr>
  </w:style>
  <w:style w:type="character" w:styleId="1060">
    <w:name w:val="title_emph1"/>
    <w:next w:val="1060"/>
    <w:link w:val="922"/>
    <w:rPr>
      <w:rFonts w:ascii="Arial" w:hAnsi="Arial" w:eastAsia="宋体" w:cs="Times New Roman"/>
      <w:b/>
      <w:sz w:val="18"/>
    </w:rPr>
  </w:style>
  <w:style w:type="character" w:styleId="1061">
    <w:name w:val="3zw1"/>
    <w:next w:val="1061"/>
    <w:link w:val="922"/>
    <w:rPr>
      <w:rFonts w:ascii="Tahoma" w:hAnsi="Tahoma" w:eastAsia="宋体" w:cs="Times New Roman"/>
      <w:color w:val="000000"/>
      <w:sz w:val="21"/>
      <w:szCs w:val="21"/>
      <w:lang w:val="en-US" w:eastAsia="zh-CN" w:bidi="ar-SA"/>
    </w:rPr>
  </w:style>
  <w:style w:type="character" w:styleId="1062">
    <w:name w:val="标题 7 Char1"/>
    <w:next w:val="1062"/>
    <w:link w:val="922"/>
    <w:rPr>
      <w:rFonts w:ascii="Times New Roman" w:hAnsi="Times New Roman" w:eastAsia="宋体" w:cs="Times New Roman"/>
      <w:b/>
      <w:bCs/>
      <w:sz w:val="24"/>
      <w:szCs w:val="24"/>
    </w:rPr>
  </w:style>
  <w:style w:type="character" w:styleId="1063">
    <w:name w:val="15"/>
    <w:next w:val="1063"/>
    <w:link w:val="922"/>
    <w:rPr>
      <w:rFonts w:ascii="Times New Roman" w:hAnsi="Times New Roman" w:eastAsia="宋体" w:cs="Times New Roman"/>
    </w:rPr>
  </w:style>
  <w:style w:type="character" w:styleId="1064">
    <w:name w:val="titleblack14px1"/>
    <w:next w:val="1064"/>
    <w:link w:val="922"/>
    <w:rPr>
      <w:rFonts w:ascii="Times New Roman" w:hAnsi="Times New Roman" w:eastAsia="宋体" w:cs="Times New Roman"/>
      <w:b/>
      <w:color w:val="000000"/>
      <w:sz w:val="28"/>
    </w:rPr>
  </w:style>
  <w:style w:type="character" w:styleId="1065">
    <w:name w:val="biaoti1"/>
    <w:next w:val="1065"/>
    <w:link w:val="922"/>
    <w:rPr>
      <w:rFonts w:ascii="Tahoma" w:hAnsi="Tahoma" w:eastAsia="宋体" w:cs="Times New Roman"/>
      <w:b/>
      <w:bCs/>
      <w:color w:val="336699"/>
      <w:sz w:val="21"/>
      <w:szCs w:val="21"/>
      <w:u w:val="none"/>
      <w:lang w:val="en-US" w:eastAsia="zh-CN" w:bidi="ar-SA"/>
    </w:rPr>
  </w:style>
  <w:style w:type="character" w:styleId="1066">
    <w:name w:val="ct-def21"/>
    <w:next w:val="1066"/>
    <w:link w:val="922"/>
    <w:rPr>
      <w:rFonts w:hint="eastAsia" w:ascii="宋体" w:hAnsi="宋体" w:eastAsia="宋体" w:cs="Times New Roman"/>
      <w:color w:val="000000"/>
      <w:spacing w:val="0"/>
      <w:sz w:val="18"/>
      <w:u w:val="none"/>
    </w:rPr>
  </w:style>
  <w:style w:type="character" w:styleId="1067">
    <w:name w:val="Char Char1"/>
    <w:next w:val="1067"/>
    <w:link w:val="922"/>
    <w:rPr>
      <w:rFonts w:ascii="宋体" w:hAnsi="宋体" w:eastAsia="宋体" w:cs="Times New Roman"/>
      <w:sz w:val="24"/>
      <w:szCs w:val="24"/>
      <w:lang w:val="en-US" w:eastAsia="zh-CN" w:bidi="ar-SA"/>
    </w:rPr>
  </w:style>
  <w:style w:type="character" w:styleId="1068">
    <w:name w:val="label"/>
    <w:next w:val="1068"/>
    <w:link w:val="922"/>
    <w:rPr>
      <w:rFonts w:ascii="Times New Roman" w:hAnsi="Times New Roman" w:eastAsia="宋体" w:cs="Times New Roman"/>
    </w:rPr>
  </w:style>
  <w:style w:type="character" w:styleId="1069">
    <w:name w:val="Char Char6"/>
    <w:next w:val="1069"/>
    <w:link w:val="922"/>
    <w:rPr>
      <w:rFonts w:ascii="Times New Roman" w:hAnsi="Times New Roman" w:eastAsia="宋体" w:cs="Times New Roman"/>
      <w:b/>
      <w:bCs/>
      <w:sz w:val="44"/>
      <w:szCs w:val="44"/>
      <w:lang w:val="en-US" w:eastAsia="zh-CN" w:bidi="ar-SA"/>
    </w:rPr>
  </w:style>
  <w:style w:type="character" w:styleId="1070">
    <w:name w:val="+列表编号 Char Char"/>
    <w:next w:val="1070"/>
    <w:link w:val="922"/>
    <w:rPr>
      <w:rFonts w:ascii="Tahoma" w:hAnsi="Tahoma" w:eastAsia="宋体" w:cs="Times New Roman"/>
      <w:b/>
      <w:spacing w:val="8"/>
      <w:sz w:val="24"/>
      <w:szCs w:val="24"/>
      <w:lang w:val="en-US" w:eastAsia="zh-CN" w:bidi="ar-SA"/>
    </w:rPr>
  </w:style>
  <w:style w:type="character" w:styleId="1071">
    <w:name w:val="Char Char Char Char Char Char Char Char Char"/>
    <w:next w:val="1071"/>
    <w:link w:val="1072"/>
    <w:rPr>
      <w:rFonts w:ascii="Tahoma" w:hAnsi="Tahoma" w:eastAsia="宋体" w:cs="Times New Roman"/>
      <w:sz w:val="24"/>
    </w:rPr>
  </w:style>
  <w:style w:type="paragraph" w:styleId="1072">
    <w:name w:val="Char Char Char Char Char Char Char"/>
    <w:basedOn w:val="922"/>
    <w:next w:val="1072"/>
    <w:link w:val="1071"/>
    <w:pPr>
      <w:ind w:firstLine="480"/>
      <w:spacing w:line="360" w:lineRule="auto"/>
    </w:pPr>
    <w:rPr>
      <w:rFonts w:ascii="Tahoma" w:hAnsi="Tahoma"/>
      <w:sz w:val="24"/>
      <w:szCs w:val="20"/>
    </w:rPr>
  </w:style>
  <w:style w:type="character" w:styleId="1073">
    <w:name w:val="Char Char"/>
    <w:next w:val="1073"/>
    <w:link w:val="922"/>
    <w:rPr>
      <w:rFonts w:ascii="Cambria" w:hAnsi="Cambria" w:eastAsia="宋体" w:cs="Times New Roman"/>
      <w:b/>
      <w:bCs/>
      <w:sz w:val="32"/>
      <w:szCs w:val="32"/>
    </w:rPr>
  </w:style>
  <w:style w:type="character" w:styleId="1074">
    <w:name w:val="标准正文 Char Char"/>
    <w:next w:val="1074"/>
    <w:link w:val="1075"/>
    <w:rPr>
      <w:rFonts w:ascii="仿宋_GB2312" w:hAnsi="Times New Roman" w:eastAsia="仿宋_GB2312" w:cs="Times New Roman"/>
      <w:sz w:val="24"/>
      <w:lang w:val="en-US" w:eastAsia="zh-CN" w:bidi="ar-SA"/>
    </w:rPr>
  </w:style>
  <w:style w:type="paragraph" w:styleId="1075">
    <w:name w:val="标准正文 Char"/>
    <w:basedOn w:val="922"/>
    <w:next w:val="1075"/>
    <w:link w:val="1074"/>
    <w:pPr>
      <w:spacing w:before="312" w:after="312" w:line="288" w:lineRule="auto"/>
    </w:pPr>
    <w:rPr>
      <w:rFonts w:ascii="仿宋_GB2312" w:hAnsi="Times New Roman" w:eastAsia="仿宋_GB2312"/>
      <w:sz w:val="24"/>
      <w:szCs w:val="20"/>
    </w:rPr>
  </w:style>
  <w:style w:type="character" w:styleId="1076">
    <w:name w:val="文档结构图 Char1"/>
    <w:next w:val="1076"/>
    <w:link w:val="922"/>
    <w:rPr>
      <w:rFonts w:ascii="宋体" w:hAnsi="Times New Roman" w:eastAsia="宋体" w:cs="Times New Roman"/>
      <w:sz w:val="18"/>
      <w:szCs w:val="18"/>
    </w:rPr>
  </w:style>
  <w:style w:type="character" w:styleId="1077">
    <w:name w:val="正文文本缩进 2 Char1"/>
    <w:next w:val="1077"/>
    <w:link w:val="922"/>
    <w:rPr>
      <w:rFonts w:ascii="Times New Roman" w:hAnsi="Times New Roman" w:eastAsia="宋体" w:cs="Times New Roman"/>
      <w:sz w:val="21"/>
      <w:szCs w:val="24"/>
    </w:rPr>
  </w:style>
  <w:style w:type="character" w:styleId="1078">
    <w:name w:val="正文文本 Char1"/>
    <w:next w:val="1078"/>
    <w:link w:val="922"/>
    <w:rPr>
      <w:rFonts w:ascii="Times New Roman" w:hAnsi="Times New Roman" w:eastAsia="宋体" w:cs="Times New Roman"/>
      <w:sz w:val="21"/>
      <w:szCs w:val="24"/>
    </w:rPr>
  </w:style>
  <w:style w:type="character" w:styleId="1079">
    <w:name w:val="Char Char4"/>
    <w:next w:val="1079"/>
    <w:link w:val="922"/>
    <w:rPr>
      <w:rFonts w:ascii="Cambria" w:hAnsi="Cambria" w:eastAsia="宋体" w:cs="Times New Roman"/>
      <w:b/>
      <w:bCs/>
      <w:sz w:val="28"/>
      <w:szCs w:val="28"/>
    </w:rPr>
  </w:style>
  <w:style w:type="character" w:styleId="1080">
    <w:name w:val="样式 楷体_GB2312 四号 加粗"/>
    <w:next w:val="1080"/>
    <w:link w:val="922"/>
    <w:rPr>
      <w:rFonts w:ascii="楷体_GB2312" w:hAnsi="楷体_GB2312" w:eastAsia="楷体_GB2312" w:cs="Times New Roman"/>
      <w:b/>
      <w:bCs/>
      <w:sz w:val="28"/>
      <w:szCs w:val="24"/>
      <w:lang w:val="en-US" w:eastAsia="zh-CN" w:bidi="ar-SA"/>
    </w:rPr>
  </w:style>
  <w:style w:type="character" w:styleId="1081">
    <w:name w:val="css_041a1"/>
    <w:next w:val="1081"/>
    <w:link w:val="922"/>
    <w:rPr>
      <w:rFonts w:ascii="Times New Roman" w:hAnsi="Times New Roman" w:eastAsia="宋体" w:cs="Times New Roman"/>
      <w:color w:val="0033cc"/>
      <w:sz w:val="18"/>
      <w:szCs w:val="18"/>
    </w:rPr>
  </w:style>
  <w:style w:type="character" w:styleId="1082">
    <w:name w:val="标书正文格式 Char1"/>
    <w:next w:val="1082"/>
    <w:link w:val="1083"/>
    <w:rPr>
      <w:rFonts w:eastAsia="楷体_GB2312"/>
      <w:sz w:val="24"/>
      <w:szCs w:val="24"/>
      <w:lang w:val="en-US" w:eastAsia="zh-CN" w:bidi="ar-SA"/>
    </w:rPr>
  </w:style>
  <w:style w:type="paragraph" w:styleId="1083">
    <w:name w:val="标书正文格式"/>
    <w:next w:val="1083"/>
    <w:link w:val="1082"/>
    <w:pPr>
      <w:ind w:firstLine="200"/>
      <w:spacing w:line="360" w:lineRule="auto"/>
    </w:pPr>
    <w:rPr>
      <w:rFonts w:eastAsia="楷体_GB2312"/>
      <w:sz w:val="24"/>
      <w:szCs w:val="24"/>
      <w:lang w:val="en-US" w:eastAsia="zh-CN" w:bidi="ar-SA"/>
    </w:rPr>
  </w:style>
  <w:style w:type="character" w:styleId="1084">
    <w:name w:val="apple-style-span"/>
    <w:next w:val="1084"/>
    <w:link w:val="922"/>
    <w:rPr>
      <w:rFonts w:ascii="Times New Roman" w:hAnsi="Times New Roman" w:eastAsia="宋体" w:cs="Times New Roman"/>
    </w:rPr>
  </w:style>
  <w:style w:type="character" w:styleId="1085">
    <w:name w:val="Plain Text Char"/>
    <w:next w:val="1085"/>
    <w:link w:val="1086"/>
    <w:qFormat/>
    <w:rPr>
      <w:rFonts w:ascii="宋体" w:hAnsi="Courier New" w:eastAsia="楷体_GB2312"/>
      <w:sz w:val="26"/>
    </w:rPr>
  </w:style>
  <w:style w:type="paragraph" w:styleId="1086">
    <w:name w:val="纯文本2"/>
    <w:basedOn w:val="922"/>
    <w:next w:val="1086"/>
    <w:link w:val="1085"/>
    <w:qFormat/>
    <w:rPr>
      <w:rFonts w:ascii="宋体" w:hAnsi="Courier New" w:eastAsia="楷体_GB2312"/>
      <w:sz w:val="26"/>
      <w:szCs w:val="20"/>
    </w:rPr>
  </w:style>
  <w:style w:type="character" w:styleId="1087">
    <w:name w:val="保驾"/>
    <w:next w:val="1087"/>
    <w:link w:val="922"/>
    <w:rPr>
      <w:rFonts w:ascii="Times New Roman" w:hAnsi="Times New Roman" w:eastAsia="宋体" w:cs="Times New Roman"/>
      <w:sz w:val="18"/>
    </w:rPr>
  </w:style>
  <w:style w:type="character" w:styleId="1088">
    <w:name w:val="ca-0"/>
    <w:next w:val="1088"/>
    <w:link w:val="922"/>
    <w:rPr>
      <w:rFonts w:ascii="Times New Roman" w:hAnsi="Times New Roman" w:eastAsia="宋体" w:cs="Times New Roman"/>
    </w:rPr>
  </w:style>
  <w:style w:type="character" w:styleId="1089">
    <w:name w:val="+正文 Char Char Char Char"/>
    <w:next w:val="1089"/>
    <w:link w:val="922"/>
    <w:rPr>
      <w:rFonts w:ascii="Tahoma" w:hAnsi="Tahoma" w:eastAsia="宋体" w:cs="Times New Roman"/>
      <w:sz w:val="24"/>
      <w:szCs w:val="28"/>
      <w:lang w:val="en-US" w:eastAsia="zh-CN" w:bidi="ar-SA"/>
    </w:rPr>
  </w:style>
  <w:style w:type="character" w:styleId="1090">
    <w:name w:val="bei21"/>
    <w:next w:val="1090"/>
    <w:link w:val="922"/>
    <w:rPr>
      <w:rFonts w:ascii="Times New Roman" w:hAnsi="Times New Roman" w:eastAsia="宋体" w:cs="Times New Roman"/>
    </w:rPr>
  </w:style>
  <w:style w:type="character" w:styleId="1091">
    <w:name w:val="txt1"/>
    <w:next w:val="1091"/>
    <w:link w:val="922"/>
    <w:rPr>
      <w:rFonts w:ascii="Times New Roman" w:hAnsi="Times New Roman" w:eastAsia="宋体" w:cs="Times New Roman"/>
    </w:rPr>
  </w:style>
  <w:style w:type="character" w:styleId="1092">
    <w:name w:val="正文文本 3 Char1"/>
    <w:next w:val="1092"/>
    <w:link w:val="922"/>
    <w:rPr>
      <w:rFonts w:ascii="Times New Roman" w:hAnsi="Times New Roman" w:eastAsia="宋体" w:cs="Times New Roman"/>
      <w:sz w:val="16"/>
      <w:szCs w:val="16"/>
    </w:rPr>
  </w:style>
  <w:style w:type="character" w:styleId="1093">
    <w:name w:val="页脚 Char1"/>
    <w:next w:val="1093"/>
    <w:link w:val="922"/>
    <w:rPr>
      <w:rFonts w:ascii="Times New Roman" w:hAnsi="Times New Roman" w:eastAsia="宋体" w:cs="Times New Roman"/>
      <w:sz w:val="18"/>
      <w:szCs w:val="18"/>
    </w:rPr>
  </w:style>
  <w:style w:type="character" w:styleId="1094">
    <w:name w:val="正文文本 3 Char2"/>
    <w:next w:val="1094"/>
    <w:link w:val="922"/>
    <w:rPr>
      <w:rFonts w:ascii="Times New Roman" w:hAnsi="Times New Roman" w:eastAsia="宋体" w:cs="Times New Roman"/>
      <w:sz w:val="16"/>
      <w:szCs w:val="16"/>
    </w:rPr>
  </w:style>
  <w:style w:type="character" w:styleId="1095">
    <w:name w:val="letter list Char,PIM 7 Char,sdf Char,Alt+7 Char,L7 Char,H TIMES1 Char,正文七级标题 Char,不用 Char,st Char,(use for appendix) Char,List(1) Char,Bulleted list Char,cnc Char,Caption number (column-wide) Char,ITT t7 Char,PA Appendix Major Char,lettered list Char"/>
    <w:next w:val="1095"/>
    <w:link w:val="922"/>
    <w:rPr>
      <w:rFonts w:ascii="宋体" w:hAnsi="宋体" w:eastAsia="宋体" w:cs="Times New Roman"/>
      <w:b/>
      <w:bCs/>
      <w:sz w:val="24"/>
      <w:szCs w:val="24"/>
    </w:rPr>
  </w:style>
  <w:style w:type="character" w:styleId="1096">
    <w:name w:val="+标题3 Char Char"/>
    <w:next w:val="1096"/>
    <w:link w:val="922"/>
    <w:rPr>
      <w:rFonts w:ascii="Tahoma" w:hAnsi="Tahoma" w:eastAsia="宋体" w:cs="Times New Roman"/>
      <w:b/>
      <w:bCs/>
      <w:sz w:val="24"/>
      <w:szCs w:val="28"/>
      <w:lang w:val="en-US" w:eastAsia="zh-CN" w:bidi="ar-SA"/>
    </w:rPr>
  </w:style>
  <w:style w:type="character" w:styleId="1097">
    <w:name w:val="newsbg1"/>
    <w:next w:val="1097"/>
    <w:link w:val="922"/>
    <w:rPr>
      <w:rFonts w:ascii="Times New Roman" w:hAnsi="Times New Roman" w:eastAsia="宋体" w:cs="Times New Roman"/>
    </w:rPr>
  </w:style>
  <w:style w:type="character" w:styleId="1098">
    <w:name w:val="+正文 Char Char Char2"/>
    <w:next w:val="1098"/>
    <w:link w:val="922"/>
    <w:rPr>
      <w:rFonts w:ascii="Tahoma" w:hAnsi="Tahoma" w:eastAsia="宋体" w:cs="Times New Roman"/>
      <w:sz w:val="24"/>
      <w:szCs w:val="24"/>
      <w:lang w:val="en-US" w:eastAsia="zh-CN" w:bidi="ar-SA"/>
    </w:rPr>
  </w:style>
  <w:style w:type="character" w:styleId="1099">
    <w:name w:val="xiangxicanshu1"/>
    <w:next w:val="1099"/>
    <w:link w:val="922"/>
    <w:rPr>
      <w:rFonts w:ascii="ˎ̥" w:hAnsi="ˎ̥" w:eastAsia="宋体" w:cs="Times New Roman"/>
      <w:b/>
      <w:bCs/>
      <w:color w:val="6f6f6f"/>
      <w:sz w:val="18"/>
      <w:szCs w:val="18"/>
    </w:rPr>
  </w:style>
  <w:style w:type="character" w:styleId="1100">
    <w:name w:val="Char Char Char Char Char Char Char Char"/>
    <w:next w:val="1100"/>
    <w:link w:val="922"/>
    <w:rPr>
      <w:rFonts w:ascii="Tahoma" w:hAnsi="Tahoma" w:eastAsia="宋体" w:cs="Times New Roman"/>
      <w:sz w:val="24"/>
      <w:lang w:val="en-US" w:eastAsia="zh-CN"/>
    </w:rPr>
  </w:style>
  <w:style w:type="character" w:styleId="1101">
    <w:name w:val="td21"/>
    <w:next w:val="1101"/>
    <w:link w:val="922"/>
    <w:rPr>
      <w:rFonts w:ascii="Tahoma" w:hAnsi="Tahoma" w:eastAsia="宋体" w:cs="Times New Roman"/>
      <w:sz w:val="21"/>
      <w:szCs w:val="21"/>
      <w:u w:val="none"/>
      <w:lang w:val="en-US" w:eastAsia="zh-CN" w:bidi="ar-SA"/>
    </w:rPr>
  </w:style>
  <w:style w:type="character" w:styleId="1102">
    <w:name w:val="style1"/>
    <w:next w:val="1102"/>
    <w:link w:val="922"/>
    <w:rPr>
      <w:rFonts w:ascii="Times New Roman" w:hAnsi="Times New Roman" w:eastAsia="宋体" w:cs="Times New Roman"/>
    </w:rPr>
  </w:style>
  <w:style w:type="character" w:styleId="1103">
    <w:name w:val="gray_b"/>
    <w:next w:val="1103"/>
    <w:link w:val="922"/>
    <w:rPr>
      <w:rFonts w:ascii="Times New Roman" w:hAnsi="Times New Roman" w:eastAsia="宋体" w:cs="Times New Roman"/>
    </w:rPr>
  </w:style>
  <w:style w:type="character" w:styleId="1104">
    <w:name w:val="xiangxicanshu_txt21"/>
    <w:next w:val="1104"/>
    <w:link w:val="922"/>
    <w:rPr>
      <w:rFonts w:ascii="Arial" w:hAnsi="Arial" w:eastAsia="宋体" w:cs="Arial"/>
      <w:b w:val="0"/>
      <w:bCs w:val="0"/>
      <w:color w:val="6f6f6f"/>
      <w:sz w:val="18"/>
      <w:szCs w:val="18"/>
    </w:rPr>
  </w:style>
  <w:style w:type="character" w:styleId="1105">
    <w:name w:val="p_inzi_cu1"/>
    <w:next w:val="1105"/>
    <w:link w:val="922"/>
    <w:rPr>
      <w:rFonts w:ascii="Times New Roman" w:hAnsi="Times New Roman" w:eastAsia="宋体" w:cs="Times New Roman"/>
      <w:b/>
      <w:bCs/>
      <w:color w:val="171717"/>
      <w:sz w:val="17"/>
      <w:szCs w:val="17"/>
    </w:rPr>
  </w:style>
  <w:style w:type="character" w:styleId="1106">
    <w:name w:val="body1"/>
    <w:next w:val="1106"/>
    <w:link w:val="922"/>
    <w:rPr>
      <w:rFonts w:ascii="Calibri" w:hAnsi="Calibri" w:eastAsia="宋体" w:cs="Times New Roman"/>
      <w:sz w:val="18"/>
      <w:szCs w:val="18"/>
      <w:lang w:val="en-US" w:eastAsia="zh-CN" w:bidi="ar-SA"/>
    </w:rPr>
  </w:style>
  <w:style w:type="character" w:styleId="1107">
    <w:name w:val="纯文本 Char1"/>
    <w:next w:val="1107"/>
    <w:link w:val="922"/>
    <w:rPr>
      <w:rFonts w:ascii="宋体" w:hAnsi="Courier New" w:eastAsia="宋体" w:cs="Courier New"/>
      <w:sz w:val="21"/>
      <w:szCs w:val="21"/>
    </w:rPr>
  </w:style>
  <w:style w:type="character" w:styleId="1108">
    <w:name w:val="param_td12"/>
    <w:next w:val="1108"/>
    <w:link w:val="922"/>
    <w:rPr>
      <w:rFonts w:ascii="Times New Roman" w:hAnsi="Times New Roman" w:eastAsia="宋体" w:cs="Times New Roman"/>
    </w:rPr>
  </w:style>
  <w:style w:type="character" w:styleId="1109">
    <w:name w:val="font"/>
    <w:next w:val="1109"/>
    <w:link w:val="922"/>
    <w:rPr>
      <w:rFonts w:ascii="Tahoma" w:hAnsi="Tahoma" w:eastAsia="宋体" w:cs="Times New Roman"/>
      <w:sz w:val="24"/>
      <w:szCs w:val="24"/>
      <w:lang w:val="en-US" w:eastAsia="zh-CN" w:bidi="ar-SA"/>
    </w:rPr>
  </w:style>
  <w:style w:type="character" w:styleId="1110">
    <w:name w:val="f141"/>
    <w:next w:val="1110"/>
    <w:link w:val="922"/>
    <w:rPr>
      <w:rFonts w:ascii="Tahoma" w:hAnsi="Tahoma" w:eastAsia="宋体" w:cs="Times New Roman"/>
      <w:sz w:val="24"/>
      <w:szCs w:val="24"/>
      <w:lang w:val="en-US" w:eastAsia="zh-CN" w:bidi="ar-SA"/>
    </w:rPr>
  </w:style>
  <w:style w:type="character" w:styleId="1111">
    <w:name w:val="批注主题 Char1"/>
    <w:next w:val="1111"/>
    <w:link w:val="922"/>
    <w:rPr>
      <w:rFonts w:ascii="Tahoma" w:hAnsi="Tahoma" w:eastAsia="宋体" w:cs="Times New Roman"/>
      <w:b/>
      <w:bCs/>
      <w:sz w:val="21"/>
      <w:szCs w:val="24"/>
    </w:rPr>
  </w:style>
  <w:style w:type="character" w:styleId="1112">
    <w:name w:val="td1301"/>
    <w:next w:val="1112"/>
    <w:link w:val="922"/>
    <w:rPr>
      <w:rFonts w:ascii="Times New Roman" w:hAnsi="Times New Roman" w:eastAsia="宋体" w:cs="Times New Roman"/>
    </w:rPr>
  </w:style>
  <w:style w:type="character" w:styleId="1113">
    <w:name w:val="style21"/>
    <w:next w:val="1113"/>
    <w:link w:val="922"/>
    <w:rPr>
      <w:rFonts w:ascii="Times New Roman" w:hAnsi="Times New Roman" w:eastAsia="宋体" w:cs="Times New Roman"/>
      <w:b/>
      <w:bCs/>
      <w:sz w:val="24"/>
      <w:szCs w:val="24"/>
    </w:rPr>
  </w:style>
  <w:style w:type="character" w:styleId="1114">
    <w:name w:val="line"/>
    <w:next w:val="1114"/>
    <w:link w:val="922"/>
    <w:rPr>
      <w:rFonts w:ascii="Times New Roman" w:hAnsi="Times New Roman" w:eastAsia="宋体" w:cs="Times New Roman"/>
    </w:rPr>
  </w:style>
  <w:style w:type="character" w:styleId="1115">
    <w:name w:val="Normal with Symbol Char"/>
    <w:next w:val="1115"/>
    <w:link w:val="1116"/>
    <w:rPr>
      <w:rFonts w:ascii="Arial" w:hAnsi="Arial" w:eastAsia="宋体" w:cs="Times New Roman"/>
      <w:sz w:val="24"/>
      <w:szCs w:val="24"/>
    </w:rPr>
  </w:style>
  <w:style w:type="paragraph" w:styleId="1116">
    <w:name w:val="Normal with Symbol"/>
    <w:basedOn w:val="922"/>
    <w:next w:val="1116"/>
    <w:link w:val="1115"/>
    <w:pPr>
      <w:ind w:left="990" w:hanging="180"/>
      <w:jc w:val="left"/>
      <w:spacing w:before="120" w:after="120"/>
      <w:widowControl/>
      <w:tabs>
        <w:tab w:val="left" w:pos="990" w:leader="none"/>
      </w:tabs>
    </w:pPr>
    <w:rPr>
      <w:rFonts w:ascii="Arial" w:hAnsi="Arial"/>
      <w:sz w:val="24"/>
    </w:rPr>
  </w:style>
  <w:style w:type="character" w:styleId="1117">
    <w:name w:val="No Spacing Char"/>
    <w:next w:val="1117"/>
    <w:link w:val="1118"/>
    <w:rPr>
      <w:lang w:val="en-GB" w:eastAsia="en-US" w:bidi="ar-SA"/>
    </w:rPr>
  </w:style>
  <w:style w:type="paragraph" w:styleId="1118">
    <w:name w:val="无间隔1"/>
    <w:next w:val="1118"/>
    <w:link w:val="1117"/>
    <w:pPr>
      <w:spacing w:line="240" w:lineRule="atLeast"/>
    </w:pPr>
    <w:rPr>
      <w:lang w:val="en-GB" w:eastAsia="en-US" w:bidi="ar-SA"/>
    </w:rPr>
  </w:style>
  <w:style w:type="character" w:styleId="1119">
    <w:name w:val="apple-converted-space"/>
    <w:next w:val="1119"/>
    <w:link w:val="922"/>
    <w:rPr>
      <w:rFonts w:ascii="Tahoma" w:hAnsi="Tahoma" w:eastAsia="宋体" w:cs="Times New Roman"/>
      <w:sz w:val="24"/>
      <w:szCs w:val="24"/>
      <w:lang w:val="en-US" w:eastAsia="zh-CN" w:bidi="ar-SA"/>
    </w:rPr>
  </w:style>
  <w:style w:type="character" w:styleId="1120">
    <w:name w:val="style141"/>
    <w:next w:val="1120"/>
    <w:link w:val="922"/>
    <w:rPr>
      <w:rFonts w:hint="eastAsia" w:ascii="黑体" w:hAnsi="Times New Roman" w:eastAsia="黑体" w:cs="Times New Roman"/>
      <w:b/>
      <w:bCs/>
      <w:color w:val="be4040"/>
      <w:sz w:val="41"/>
      <w:szCs w:val="41"/>
    </w:rPr>
  </w:style>
  <w:style w:type="character" w:styleId="1121">
    <w:name w:val="华宇段落1 Char Char"/>
    <w:next w:val="1121"/>
    <w:link w:val="922"/>
    <w:rPr>
      <w:rFonts w:ascii="Times New Roman" w:hAnsi="Times New Roman" w:eastAsia="宋体" w:cs="Times New Roman"/>
      <w:sz w:val="24"/>
      <w:lang w:val="en-US" w:eastAsia="zh-CN"/>
    </w:rPr>
  </w:style>
  <w:style w:type="character" w:styleId="1122">
    <w:name w:val="h3 Char,Heading 3 - old Char,Level 3 Head Char,H3 Char,level_3 Char,PIM 3 Char,sect1.2.3 Char,sect1.2.31 Char,sect1.2.32 Char,sect1.2.311 Char,sect1.2.33 Char,sect1.2.312 Char,l3 Char,CT Char,3rd level Char,ISO2 Char,L3 Char,3 Char,sl3 Char,BOD 0 Char"/>
    <w:next w:val="1122"/>
    <w:link w:val="922"/>
    <w:rPr>
      <w:rFonts w:ascii="宋体" w:hAnsi="宋体" w:eastAsia="宋体" w:cs="Times New Roman"/>
      <w:sz w:val="28"/>
      <w:lang w:val="en-US" w:eastAsia="zh-CN" w:bidi="ar-SA"/>
    </w:rPr>
  </w:style>
  <w:style w:type="character" w:styleId="1123">
    <w:name w:val="e1"/>
    <w:next w:val="1123"/>
    <w:link w:val="922"/>
    <w:rPr>
      <w:rFonts w:ascii="Tahoma" w:hAnsi="Tahoma" w:eastAsia="宋体" w:cs="Times New Roman"/>
      <w:sz w:val="21"/>
      <w:szCs w:val="24"/>
      <w:lang w:val="en-US" w:eastAsia="zh-CN" w:bidi="ar-SA"/>
    </w:rPr>
  </w:style>
  <w:style w:type="character" w:styleId="1124">
    <w:name w:val="style101"/>
    <w:next w:val="1124"/>
    <w:link w:val="922"/>
    <w:rPr>
      <w:rFonts w:ascii="Arial" w:hAnsi="Arial" w:eastAsia="宋体" w:cs="Arial"/>
      <w:b/>
      <w:bCs/>
      <w:color w:val="003272"/>
      <w:sz w:val="36"/>
      <w:szCs w:val="36"/>
    </w:rPr>
  </w:style>
  <w:style w:type="character" w:styleId="1125">
    <w:name w:val="标题 5 Char1,H5 Char"/>
    <w:next w:val="1125"/>
    <w:link w:val="922"/>
    <w:rPr>
      <w:rFonts w:ascii="Times New Roman" w:hAnsi="Times New Roman" w:eastAsia="宋体" w:cs="Times New Roman"/>
      <w:b/>
      <w:bCs/>
      <w:sz w:val="28"/>
      <w:szCs w:val="28"/>
    </w:rPr>
  </w:style>
  <w:style w:type="character" w:styleId="1126">
    <w:name w:val="正文文本缩进 Char1"/>
    <w:next w:val="1126"/>
    <w:link w:val="922"/>
    <w:rPr>
      <w:rFonts w:ascii="Times New Roman" w:hAnsi="Times New Roman" w:eastAsia="宋体" w:cs="Times New Roman"/>
      <w:sz w:val="21"/>
      <w:szCs w:val="24"/>
    </w:rPr>
  </w:style>
  <w:style w:type="character" w:styleId="1127">
    <w:name w:val="释义正文2"/>
    <w:next w:val="1127"/>
    <w:link w:val="922"/>
    <w:rPr>
      <w:rFonts w:ascii="Times New Roman" w:hAnsi="Times New Roman" w:eastAsia="宋体" w:cs="Times New Roman"/>
      <w:sz w:val="24"/>
    </w:rPr>
  </w:style>
  <w:style w:type="character" w:styleId="1128">
    <w:name w:val="style2"/>
    <w:next w:val="1128"/>
    <w:link w:val="922"/>
    <w:rPr>
      <w:rFonts w:ascii="Times New Roman" w:hAnsi="Times New Roman" w:eastAsia="宋体" w:cs="Times New Roman"/>
    </w:rPr>
  </w:style>
  <w:style w:type="character" w:styleId="1129">
    <w:name w:val="h3 Char1,Heading 3 - old Char1,Level 3 Head Char1,H3 Char1,level_3 Char1,PIM 3 Char1,sect1.2.3 Char1,sect1.2.31 Char1,sect1.2.32 Char1,sect1.2.311 Char1,sect1.2.33 Char1,sect1.2.312 Char1,l3 Char1,CT Char1,3rd level Char1,ISO2 Char1,L3 Char1,3 Char1"/>
    <w:next w:val="1129"/>
    <w:link w:val="922"/>
    <w:rPr>
      <w:rFonts w:ascii="宋体" w:hAnsi="宋体" w:eastAsia="宋体" w:cs="Times New Roman"/>
      <w:sz w:val="28"/>
      <w:lang w:val="en-US" w:eastAsia="zh-CN" w:bidi="ar-SA"/>
    </w:rPr>
  </w:style>
  <w:style w:type="character" w:styleId="1130">
    <w:name w:val="标题 8 Char1"/>
    <w:next w:val="1130"/>
    <w:link w:val="922"/>
    <w:rPr>
      <w:rFonts w:ascii="Cambria" w:hAnsi="Cambria" w:eastAsia="宋体" w:cs="Times New Roman"/>
      <w:sz w:val="24"/>
      <w:szCs w:val="24"/>
    </w:rPr>
  </w:style>
  <w:style w:type="character" w:styleId="1131">
    <w:name w:val="样式 仿宋_GB2312 四号 黑色"/>
    <w:next w:val="1131"/>
    <w:link w:val="922"/>
    <w:rPr>
      <w:rFonts w:ascii="仿宋_GB2312" w:hAnsi="仿宋_GB2312" w:eastAsia="仿宋_GB2312" w:cs="Times New Roman"/>
      <w:color w:val="000000"/>
      <w:sz w:val="24"/>
    </w:rPr>
  </w:style>
  <w:style w:type="character" w:styleId="1132">
    <w:name w:val="grame"/>
    <w:next w:val="1132"/>
    <w:link w:val="922"/>
    <w:rPr>
      <w:rFonts w:ascii="Times New Roman" w:hAnsi="Times New Roman" w:eastAsia="宋体" w:cs="Times New Roman"/>
    </w:rPr>
  </w:style>
  <w:style w:type="character" w:styleId="1133">
    <w:name w:val="访问过的超链接1"/>
    <w:next w:val="1133"/>
    <w:link w:val="922"/>
    <w:rPr>
      <w:rFonts w:ascii="Tahoma" w:hAnsi="Tahoma" w:eastAsia="宋体" w:cs="Times New Roman"/>
      <w:color w:val="954f72"/>
      <w:sz w:val="24"/>
      <w:szCs w:val="24"/>
      <w:u w:val="single"/>
      <w:lang w:val="en-US" w:eastAsia="zh-CN" w:bidi="ar-SA"/>
    </w:rPr>
  </w:style>
  <w:style w:type="character" w:styleId="1134">
    <w:name w:val="maintext1"/>
    <w:next w:val="1134"/>
    <w:link w:val="922"/>
    <w:rPr>
      <w:rFonts w:ascii="ˎ̥" w:hAnsi="ˎ̥" w:eastAsia="宋体" w:cs="Times New Roman"/>
      <w:color w:val="000000"/>
      <w:spacing w:val="24"/>
      <w:sz w:val="20"/>
      <w:szCs w:val="20"/>
    </w:rPr>
  </w:style>
  <w:style w:type="character" w:styleId="1135">
    <w:name w:val="页眉 Char1"/>
    <w:next w:val="1135"/>
    <w:link w:val="922"/>
    <w:rPr>
      <w:rFonts w:ascii="Times New Roman" w:hAnsi="Times New Roman" w:eastAsia="宋体" w:cs="Times New Roman"/>
      <w:sz w:val="18"/>
      <w:szCs w:val="18"/>
    </w:rPr>
  </w:style>
  <w:style w:type="character" w:styleId="1136">
    <w:name w:val="正文文本 2 Char1"/>
    <w:next w:val="1136"/>
    <w:link w:val="922"/>
    <w:rPr>
      <w:rFonts w:ascii="Times New Roman" w:hAnsi="Times New Roman" w:eastAsia="宋体" w:cs="Times New Roman"/>
      <w:sz w:val="21"/>
      <w:szCs w:val="24"/>
    </w:rPr>
  </w:style>
  <w:style w:type="paragraph" w:styleId="1137">
    <w:name w:val="正文缩进2"/>
    <w:basedOn w:val="922"/>
    <w:next w:val="1137"/>
    <w:link w:val="922"/>
    <w:pPr>
      <w:ind w:firstLine="480"/>
      <w:spacing w:line="360" w:lineRule="auto"/>
    </w:pPr>
    <w:rPr>
      <w:rFonts w:ascii="Times New Roman" w:hAnsi="Times New Roman" w:eastAsia="宋体" w:cs="Times New Roman"/>
      <w:sz w:val="24"/>
      <w:szCs w:val="20"/>
    </w:rPr>
  </w:style>
  <w:style w:type="paragraph" w:styleId="1138">
    <w:name w:val="xl59"/>
    <w:basedOn w:val="922"/>
    <w:next w:val="1138"/>
    <w:link w:val="922"/>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139">
    <w:name w:val="xl49"/>
    <w:basedOn w:val="922"/>
    <w:next w:val="1139"/>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40">
    <w:name w:val="列出段落1"/>
    <w:basedOn w:val="922"/>
    <w:next w:val="1140"/>
    <w:link w:val="922"/>
    <w:pPr>
      <w:ind w:firstLine="420"/>
    </w:pPr>
    <w:rPr>
      <w:rFonts w:ascii="宋体" w:hAnsi="宋体" w:eastAsia="宋体" w:cs="Times New Roman"/>
      <w:sz w:val="24"/>
    </w:rPr>
  </w:style>
  <w:style w:type="paragraph" w:styleId="1141">
    <w:name w:val="msonormalcxspmiddle"/>
    <w:basedOn w:val="922"/>
    <w:next w:val="1141"/>
    <w:link w:val="922"/>
    <w:pPr>
      <w:jc w:val="left"/>
      <w:widowControl/>
    </w:pPr>
    <w:rPr>
      <w:rFonts w:ascii="宋体" w:hAnsi="宋体" w:eastAsia="宋体" w:cs="宋体"/>
      <w:sz w:val="24"/>
    </w:rPr>
  </w:style>
  <w:style w:type="paragraph" w:styleId="1142">
    <w:name w:val="正文文本 21"/>
    <w:basedOn w:val="922"/>
    <w:next w:val="1142"/>
    <w:link w:val="922"/>
    <w:pPr>
      <w:ind w:firstLine="480"/>
      <w:jc w:val="left"/>
      <w:spacing w:line="400" w:lineRule="exact"/>
    </w:pPr>
    <w:rPr>
      <w:rFonts w:ascii="仿宋_GB2312" w:hAnsi="Times New Roman" w:eastAsia="仿宋_GB2312" w:cs="Times New Roman"/>
      <w:sz w:val="24"/>
      <w:szCs w:val="20"/>
    </w:rPr>
  </w:style>
  <w:style w:type="paragraph" w:styleId="1143">
    <w:name w:val="04论文正文"/>
    <w:basedOn w:val="922"/>
    <w:next w:val="1143"/>
    <w:link w:val="922"/>
    <w:pPr>
      <w:ind w:firstLine="480"/>
      <w:spacing w:line="400" w:lineRule="exact"/>
    </w:pPr>
    <w:rPr>
      <w:rFonts w:ascii="Times New Roman" w:hAnsi="Times New Roman" w:eastAsia="宋体" w:cs="宋体"/>
      <w:sz w:val="24"/>
    </w:rPr>
  </w:style>
  <w:style w:type="paragraph" w:styleId="1144">
    <w:name w:val="正文文本 Char Char"/>
    <w:basedOn w:val="922"/>
    <w:next w:val="1144"/>
    <w:link w:val="922"/>
    <w:pPr>
      <w:jc w:val="center"/>
    </w:pPr>
    <w:rPr>
      <w:rFonts w:ascii="Times New Roman" w:hAnsi="Times New Roman" w:eastAsia="宋体" w:cs="Times New Roman"/>
      <w:szCs w:val="20"/>
    </w:rPr>
  </w:style>
  <w:style w:type="paragraph" w:styleId="1145">
    <w:name w:val="xl69"/>
    <w:basedOn w:val="922"/>
    <w:next w:val="1145"/>
    <w:link w:val="922"/>
    <w:pPr>
      <w:jc w:val="left"/>
      <w:spacing w:before="100" w:beforeAutospacing="1" w:after="100" w:afterAutospacing="1"/>
      <w:widowControl/>
    </w:pPr>
    <w:rPr>
      <w:rFonts w:ascii="Microsoft Sans Serif" w:hAnsi="Microsoft Sans Serif" w:eastAsia="宋体" w:cs="Microsoft Sans Serif"/>
      <w:sz w:val="24"/>
    </w:rPr>
  </w:style>
  <w:style w:type="paragraph" w:styleId="1146">
    <w:name w:val="样式 仿宋_GB2312 四号 黑色 行距: 1.5 倍行距2"/>
    <w:basedOn w:val="922"/>
    <w:next w:val="1146"/>
    <w:link w:val="922"/>
    <w:pPr>
      <w:spacing w:line="360" w:lineRule="auto"/>
    </w:pPr>
    <w:rPr>
      <w:rFonts w:ascii="仿宋_GB2312" w:hAnsi="Times New Roman" w:eastAsia="仿宋_GB2312" w:cs="Times New Roman"/>
      <w:color w:val="000000"/>
      <w:sz w:val="24"/>
      <w:szCs w:val="20"/>
    </w:rPr>
  </w:style>
  <w:style w:type="paragraph" w:styleId="1147">
    <w:name w:val="Plain Text1"/>
    <w:basedOn w:val="922"/>
    <w:next w:val="1147"/>
    <w:link w:val="922"/>
    <w:qFormat/>
    <w:rPr>
      <w:rFonts w:ascii="宋体" w:hAnsi="Courier New" w:eastAsia="楷体_GB2312" w:cs="宋体"/>
      <w:sz w:val="26"/>
      <w:szCs w:val="26"/>
    </w:rPr>
  </w:style>
  <w:style w:type="paragraph" w:styleId="1148">
    <w:name w:val="封面标题"/>
    <w:basedOn w:val="922"/>
    <w:next w:val="1148"/>
    <w:link w:val="922"/>
    <w:pPr>
      <w:jc w:val="center"/>
      <w:spacing w:line="360" w:lineRule="auto"/>
    </w:pPr>
    <w:rPr>
      <w:rFonts w:ascii="Times New Roman" w:hAnsi="Times New Roman" w:eastAsia="黑体" w:cs="Times New Roman"/>
      <w:b/>
      <w:bCs/>
      <w:sz w:val="52"/>
      <w:szCs w:val="48"/>
    </w:rPr>
  </w:style>
  <w:style w:type="paragraph" w:styleId="1149">
    <w:name w:val="修订"/>
    <w:next w:val="1149"/>
    <w:link w:val="922"/>
    <w:rPr>
      <w:sz w:val="21"/>
      <w:szCs w:val="24"/>
      <w:lang w:val="en-US" w:eastAsia="zh-CN" w:bidi="ar-SA"/>
    </w:rPr>
  </w:style>
  <w:style w:type="paragraph" w:styleId="1150">
    <w:name w:val="文档正文"/>
    <w:basedOn w:val="922"/>
    <w:next w:val="1150"/>
    <w:link w:val="922"/>
    <w:pPr>
      <w:ind w:firstLine="567"/>
      <w:spacing w:line="480" w:lineRule="atLeast"/>
    </w:pPr>
    <w:rPr>
      <w:rFonts w:ascii="仿宋_GB2312" w:hAnsi="Calibri" w:eastAsia="仿宋_GB2312" w:cs="Times New Roman"/>
      <w:sz w:val="28"/>
      <w:szCs w:val="20"/>
    </w:rPr>
  </w:style>
  <w:style w:type="paragraph" w:styleId="1151">
    <w:name w:val="样式 标题 4 + 仿宋_GB2312"/>
    <w:basedOn w:val="926"/>
    <w:next w:val="1151"/>
    <w:link w:val="922"/>
    <w:pPr>
      <w:keepLines w:val="0"/>
      <w:spacing w:before="0" w:after="0" w:line="300" w:lineRule="auto"/>
    </w:pPr>
    <w:rPr>
      <w:rFonts w:ascii="仿宋_GB2312" w:hAnsi="仿宋_GB2312" w:eastAsia="仿宋_GB2312" w:cs="Times New Roman"/>
      <w:color w:val="ff00ff"/>
      <w:sz w:val="30"/>
      <w:szCs w:val="30"/>
    </w:rPr>
  </w:style>
  <w:style w:type="paragraph" w:styleId="1152">
    <w:name w:val="xl45"/>
    <w:basedOn w:val="922"/>
    <w:next w:val="1152"/>
    <w:link w:val="922"/>
    <w:pPr>
      <w:jc w:val="left"/>
      <w:spacing w:before="100" w:beforeAutospacing="1" w:after="100" w:afterAutospacing="1"/>
      <w:widowControl/>
    </w:pPr>
    <w:rPr>
      <w:rFonts w:hint="eastAsia" w:ascii="仿宋_GB2312" w:hAnsi="宋体" w:eastAsia="仿宋_GB2312" w:cs="Times New Roman"/>
      <w:sz w:val="24"/>
    </w:rPr>
  </w:style>
  <w:style w:type="paragraph" w:styleId="1153">
    <w:name w:val="段落缩进2 小四"/>
    <w:basedOn w:val="922"/>
    <w:next w:val="1153"/>
    <w:link w:val="922"/>
    <w:pPr>
      <w:ind w:firstLine="480"/>
      <w:spacing w:line="360" w:lineRule="auto"/>
      <w:tabs>
        <w:tab w:val="left" w:pos="1800" w:leader="none"/>
      </w:tabs>
    </w:pPr>
    <w:rPr>
      <w:rFonts w:ascii="宋体" w:hAnsi="宋体" w:eastAsia="宋体" w:cs="Times New Roman"/>
      <w:sz w:val="24"/>
    </w:rPr>
  </w:style>
  <w:style w:type="paragraph" w:styleId="1154">
    <w:name w:val="xl24"/>
    <w:basedOn w:val="922"/>
    <w:next w:val="1154"/>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55">
    <w:name w:val="方案文档"/>
    <w:basedOn w:val="922"/>
    <w:next w:val="1155"/>
    <w:link w:val="922"/>
    <w:pPr>
      <w:ind w:firstLine="225"/>
      <w:spacing w:before="120" w:after="120" w:line="360" w:lineRule="auto"/>
    </w:pPr>
    <w:rPr>
      <w:rFonts w:ascii="Arial" w:hAnsi="Arial" w:eastAsia="宋体" w:cs="Times New Roman"/>
      <w:sz w:val="24"/>
      <w:szCs w:val="20"/>
    </w:rPr>
  </w:style>
  <w:style w:type="paragraph" w:styleId="1156">
    <w:name w:val="paragraph"/>
    <w:basedOn w:val="922"/>
    <w:next w:val="1156"/>
    <w:link w:val="922"/>
    <w:pPr>
      <w:jc w:val="left"/>
      <w:spacing w:before="100" w:beforeAutospacing="1" w:after="100" w:afterAutospacing="1"/>
      <w:widowControl/>
    </w:pPr>
    <w:rPr>
      <w:rFonts w:ascii="宋体" w:hAnsi="宋体" w:cs="宋体"/>
      <w:sz w:val="24"/>
    </w:rPr>
  </w:style>
  <w:style w:type="paragraph" w:styleId="1157">
    <w:name w:val="pa-1"/>
    <w:basedOn w:val="922"/>
    <w:next w:val="1157"/>
    <w:link w:val="922"/>
    <w:pPr>
      <w:jc w:val="left"/>
      <w:spacing w:before="150" w:after="150"/>
      <w:widowControl/>
    </w:pPr>
    <w:rPr>
      <w:rFonts w:ascii="宋体" w:hAnsi="宋体" w:eastAsia="宋体" w:cs="宋体"/>
      <w:sz w:val="24"/>
    </w:rPr>
  </w:style>
  <w:style w:type="paragraph" w:styleId="1158">
    <w:name w:val="性能表格"/>
    <w:basedOn w:val="922"/>
    <w:next w:val="1158"/>
    <w:link w:val="922"/>
    <w:pPr>
      <w:spacing w:line="360" w:lineRule="atLeast"/>
    </w:pPr>
    <w:rPr>
      <w:rFonts w:ascii="Times New Roman" w:hAnsi="Times New Roman" w:eastAsia="宋体" w:cs="Times New Roman"/>
      <w:sz w:val="24"/>
      <w:szCs w:val="20"/>
    </w:rPr>
  </w:style>
  <w:style w:type="paragraph" w:styleId="1159">
    <w:name w:val="para1"/>
    <w:basedOn w:val="922"/>
    <w:next w:val="1159"/>
    <w:link w:val="922"/>
    <w:pPr>
      <w:jc w:val="left"/>
      <w:spacing w:before="100" w:beforeAutospacing="1" w:after="100" w:afterAutospacing="1"/>
      <w:widowControl/>
    </w:pPr>
    <w:rPr>
      <w:rFonts w:ascii="宋体" w:hAnsi="宋体" w:eastAsia="宋体" w:cs="宋体"/>
      <w:sz w:val="24"/>
    </w:rPr>
  </w:style>
  <w:style w:type="paragraph" w:styleId="1160">
    <w:name w:val="标头1"/>
    <w:basedOn w:val="925"/>
    <w:next w:val="1160"/>
    <w:link w:val="922"/>
    <w:pPr>
      <w:spacing w:before="120" w:after="80" w:line="240" w:lineRule="auto"/>
    </w:pPr>
    <w:rPr>
      <w:rFonts w:ascii="Times New Roman" w:hAnsi="Times New Roman" w:eastAsia="黑体" w:cs="Times New Roman"/>
      <w:b w:val="0"/>
      <w:bCs w:val="0"/>
      <w:sz w:val="28"/>
      <w:szCs w:val="20"/>
    </w:rPr>
  </w:style>
  <w:style w:type="paragraph" w:styleId="1161">
    <w:name w:val="body4"/>
    <w:basedOn w:val="922"/>
    <w:next w:val="927"/>
    <w:link w:val="922"/>
    <w:pPr>
      <w:ind w:left="3960" w:firstLine="22"/>
      <w:jc w:val="left"/>
      <w:widowControl/>
    </w:pPr>
    <w:rPr>
      <w:rFonts w:ascii="仿宋_GB2312" w:hAnsi="Times New Roman" w:eastAsia="仿宋_GB2312" w:cs="Times New Roman"/>
      <w:sz w:val="28"/>
      <w:szCs w:val="20"/>
    </w:rPr>
  </w:style>
  <w:style w:type="paragraph" w:styleId="1162">
    <w:name w:val="xl48"/>
    <w:basedOn w:val="922"/>
    <w:next w:val="1162"/>
    <w:link w:val="92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63">
    <w:name w:val="chen"/>
    <w:basedOn w:val="985"/>
    <w:next w:val="1163"/>
    <w:link w:val="922"/>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164">
    <w:name w:val="我的正文"/>
    <w:basedOn w:val="922"/>
    <w:next w:val="1164"/>
    <w:link w:val="922"/>
    <w:pPr>
      <w:jc w:val="left"/>
      <w:spacing w:line="300" w:lineRule="auto"/>
      <w:widowControl/>
    </w:pPr>
    <w:rPr>
      <w:rFonts w:ascii="Times New Roman" w:hAnsi="Times New Roman" w:eastAsia="楷体_GB2312" w:cs="Times New Roman"/>
      <w:spacing w:val="8"/>
      <w:sz w:val="24"/>
    </w:rPr>
  </w:style>
  <w:style w:type="paragraph" w:styleId="1165">
    <w:name w:val="+注："/>
    <w:basedOn w:val="922"/>
    <w:next w:val="1165"/>
    <w:link w:val="922"/>
    <w:pPr>
      <w:ind w:firstLine="200"/>
      <w:spacing w:line="360" w:lineRule="auto"/>
    </w:pPr>
    <w:rPr>
      <w:rFonts w:ascii="Calibri" w:hAnsi="Calibri" w:eastAsia="宋体" w:cs="Times New Roman"/>
      <w:szCs w:val="21"/>
    </w:rPr>
  </w:style>
  <w:style w:type="paragraph" w:styleId="1166">
    <w:name w:val="Char1"/>
    <w:basedOn w:val="922"/>
    <w:next w:val="1166"/>
    <w:link w:val="922"/>
    <w:pPr>
      <w:tabs>
        <w:tab w:val="left" w:pos="360" w:leader="none"/>
      </w:tabs>
    </w:pPr>
    <w:rPr>
      <w:rFonts w:ascii="Calibri" w:hAnsi="Calibri" w:eastAsia="宋体" w:cs="Times New Roman"/>
    </w:rPr>
  </w:style>
  <w:style w:type="paragraph" w:styleId="1167">
    <w:name w:val="图"/>
    <w:basedOn w:val="922"/>
    <w:next w:val="1167"/>
    <w:link w:val="922"/>
    <w:pPr>
      <w:jc w:val="center"/>
      <w:keepNext/>
      <w:spacing w:before="60" w:after="60" w:line="300" w:lineRule="auto"/>
    </w:pPr>
    <w:rPr>
      <w:rFonts w:ascii="Calibri" w:hAnsi="Calibri" w:eastAsia="宋体" w:cs="Times New Roman"/>
      <w:spacing w:val="20"/>
      <w:sz w:val="24"/>
      <w:szCs w:val="20"/>
    </w:rPr>
  </w:style>
  <w:style w:type="paragraph" w:styleId="1168">
    <w:name w:val="样式 样式 首行缩进:  2 字符 + 首行缩进:  2 字符"/>
    <w:basedOn w:val="922"/>
    <w:next w:val="1168"/>
    <w:link w:val="922"/>
    <w:pPr>
      <w:ind w:firstLine="420"/>
      <w:spacing w:line="360" w:lineRule="auto"/>
      <w:tabs>
        <w:tab w:val="left" w:pos="1800" w:leader="none"/>
      </w:tabs>
    </w:pPr>
    <w:rPr>
      <w:rFonts w:ascii="Times New Roman" w:hAnsi="Times New Roman" w:eastAsia="宋体" w:cs="宋体"/>
      <w:sz w:val="24"/>
      <w:szCs w:val="20"/>
    </w:rPr>
  </w:style>
  <w:style w:type="paragraph" w:styleId="1169">
    <w:name w:val="样式2"/>
    <w:basedOn w:val="928"/>
    <w:next w:val="1169"/>
    <w:link w:val="922"/>
    <w:pPr>
      <w:ind w:left="1080" w:hanging="1080"/>
      <w:spacing w:before="240" w:after="64" w:line="320" w:lineRule="auto"/>
      <w:tabs>
        <w:tab w:val="left" w:pos="3578" w:leader="none"/>
      </w:tabs>
    </w:pPr>
    <w:rPr>
      <w:rFonts w:ascii="Arial" w:hAnsi="Arial" w:eastAsia="黑体" w:cs="Times New Roman"/>
      <w:sz w:val="24"/>
    </w:rPr>
  </w:style>
  <w:style w:type="paragraph" w:styleId="1170">
    <w:name w:val="Char Char Char Char1"/>
    <w:basedOn w:val="922"/>
    <w:next w:val="1170"/>
    <w:link w:val="922"/>
    <w:pPr>
      <w:ind w:left="495" w:hanging="495"/>
      <w:tabs>
        <w:tab w:val="left" w:pos="495" w:leader="none"/>
      </w:tabs>
    </w:pPr>
    <w:rPr>
      <w:rFonts w:ascii="Calibri" w:hAnsi="Calibri" w:eastAsia="宋体" w:cs="Times New Roman"/>
    </w:rPr>
  </w:style>
  <w:style w:type="paragraph" w:styleId="1171">
    <w:name w:val="1"/>
    <w:next w:val="1171"/>
    <w:link w:val="922"/>
    <w:pPr>
      <w:jc w:val="both"/>
      <w:widowControl w:val="off"/>
    </w:pPr>
    <w:rPr>
      <w:sz w:val="21"/>
      <w:szCs w:val="24"/>
      <w:lang w:val="en-US" w:eastAsia="zh-CN" w:bidi="ar-SA"/>
    </w:rPr>
  </w:style>
  <w:style w:type="paragraph" w:styleId="1172">
    <w:name w:val="t14black"/>
    <w:basedOn w:val="922"/>
    <w:next w:val="1172"/>
    <w:link w:val="922"/>
    <w:pPr>
      <w:jc w:val="left"/>
      <w:spacing w:before="100" w:beforeAutospacing="1" w:after="100" w:afterAutospacing="1"/>
      <w:widowControl/>
    </w:pPr>
    <w:rPr>
      <w:rFonts w:ascii="宋体" w:hAnsi="宋体" w:eastAsia="宋体" w:cs="Times New Roman"/>
      <w:sz w:val="24"/>
    </w:rPr>
  </w:style>
  <w:style w:type="paragraph" w:styleId="1173">
    <w:name w:val="Char Char Char"/>
    <w:basedOn w:val="922"/>
    <w:next w:val="1173"/>
    <w:link w:val="922"/>
    <w:pPr>
      <w:spacing w:line="360" w:lineRule="auto"/>
    </w:pPr>
    <w:rPr>
      <w:rFonts w:ascii="Times New Roman" w:hAnsi="Times New Roman" w:eastAsia="宋体" w:cs="Times New Roman"/>
      <w:sz w:val="24"/>
      <w:szCs w:val="20"/>
    </w:rPr>
  </w:style>
  <w:style w:type="paragraph" w:styleId="1174">
    <w:name w:val="+列表1"/>
    <w:basedOn w:val="922"/>
    <w:next w:val="1174"/>
    <w:link w:val="922"/>
    <w:pPr>
      <w:jc w:val="center"/>
    </w:pPr>
    <w:rPr>
      <w:rFonts w:ascii="Calibri" w:hAnsi="Calibri" w:eastAsia="宋体" w:cs="Times New Roman"/>
      <w:sz w:val="24"/>
    </w:rPr>
  </w:style>
  <w:style w:type="paragraph" w:styleId="1175">
    <w:name w:val="段"/>
    <w:next w:val="1175"/>
    <w:link w:val="922"/>
    <w:qFormat/>
    <w:pPr>
      <w:ind w:firstLine="200"/>
      <w:jc w:val="both"/>
    </w:pPr>
    <w:rPr>
      <w:rFonts w:ascii="宋体"/>
      <w:sz w:val="21"/>
      <w:lang w:val="en-US" w:eastAsia="zh-CN" w:bidi="ar-SA"/>
    </w:rPr>
  </w:style>
  <w:style w:type="paragraph" w:styleId="1176">
    <w:name w:val="+▲"/>
    <w:basedOn w:val="1177"/>
    <w:next w:val="1176"/>
    <w:link w:val="922"/>
    <w:pPr>
      <w:ind w:left="930" w:firstLine="0"/>
      <w:tabs>
        <w:tab w:val="left" w:pos="930" w:leader="none"/>
      </w:tabs>
    </w:pPr>
    <w:rPr>
      <w:rFonts w:ascii="Calibri" w:hAnsi="Calibri" w:eastAsia="宋体" w:cs="Times New Roman"/>
    </w:rPr>
  </w:style>
  <w:style w:type="paragraph" w:styleId="1177">
    <w:name w:val="+正文 Char"/>
    <w:basedOn w:val="922"/>
    <w:next w:val="1177"/>
    <w:link w:val="922"/>
    <w:pPr>
      <w:ind w:firstLine="200"/>
      <w:spacing w:line="360" w:lineRule="auto"/>
    </w:pPr>
    <w:rPr>
      <w:rFonts w:ascii="Calibri" w:hAnsi="Calibri" w:eastAsia="宋体" w:cs="Times New Roman"/>
      <w:sz w:val="24"/>
      <w:szCs w:val="28"/>
    </w:rPr>
  </w:style>
  <w:style w:type="paragraph" w:styleId="1178">
    <w:name w:val="font0"/>
    <w:basedOn w:val="922"/>
    <w:next w:val="1178"/>
    <w:link w:val="922"/>
    <w:pPr>
      <w:jc w:val="left"/>
      <w:spacing w:before="100" w:beforeAutospacing="1" w:after="100" w:afterAutospacing="1"/>
      <w:widowControl/>
    </w:pPr>
    <w:rPr>
      <w:rFonts w:hint="eastAsia" w:ascii="宋体" w:hAnsi="宋体" w:eastAsia="宋体" w:cs="Times New Roman"/>
      <w:sz w:val="24"/>
    </w:rPr>
  </w:style>
  <w:style w:type="paragraph" w:styleId="1179">
    <w:name w:val="缺省文本:1"/>
    <w:basedOn w:val="922"/>
    <w:next w:val="1179"/>
    <w:link w:val="922"/>
    <w:pPr>
      <w:jc w:val="left"/>
    </w:pPr>
    <w:rPr>
      <w:rFonts w:ascii="宋体" w:hAnsi="Times New Roman" w:eastAsia="宋体" w:cs="Times New Roman"/>
      <w:sz w:val="24"/>
      <w:szCs w:val="20"/>
    </w:rPr>
  </w:style>
  <w:style w:type="paragraph" w:styleId="1180">
    <w:name w:val="xl36"/>
    <w:basedOn w:val="922"/>
    <w:next w:val="1180"/>
    <w:link w:val="922"/>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81">
    <w:name w:val="样式 标题 1 + (西文) 宋体 小四"/>
    <w:basedOn w:val="923"/>
    <w:next w:val="1181"/>
    <w:link w:val="922"/>
    <w:pPr>
      <w:outlineLvl w:val="9"/>
    </w:pPr>
    <w:rPr>
      <w:rFonts w:ascii="宋体" w:hAnsi="宋体" w:eastAsia="宋体" w:cs="Times New Roman"/>
      <w:sz w:val="24"/>
    </w:rPr>
  </w:style>
  <w:style w:type="paragraph" w:styleId="1182">
    <w:name w:val="xl43"/>
    <w:basedOn w:val="922"/>
    <w:next w:val="1182"/>
    <w:link w:val="922"/>
    <w:pPr>
      <w:jc w:val="center"/>
      <w:spacing w:before="100" w:beforeAutospacing="1" w:after="100" w:afterAutospacing="1"/>
      <w:widowControl/>
    </w:pPr>
    <w:rPr>
      <w:rFonts w:ascii="宋体" w:hAnsi="宋体" w:eastAsia="宋体" w:cs="Times New Roman"/>
      <w:b/>
      <w:bCs/>
      <w:sz w:val="32"/>
      <w:szCs w:val="32"/>
    </w:rPr>
  </w:style>
  <w:style w:type="paragraph" w:styleId="1183">
    <w:name w:val="小点说明"/>
    <w:basedOn w:val="922"/>
    <w:next w:val="1183"/>
    <w:link w:val="922"/>
    <w:pPr>
      <w:ind w:left="360" w:firstLine="80"/>
      <w:spacing w:line="360" w:lineRule="auto"/>
      <w:tabs>
        <w:tab w:val="left" w:pos="392" w:leader="none"/>
      </w:tabs>
    </w:pPr>
    <w:rPr>
      <w:rFonts w:ascii="宋体" w:hAnsi="Arial" w:eastAsia="宋体" w:cs="Times New Roman"/>
      <w:szCs w:val="20"/>
    </w:rPr>
  </w:style>
  <w:style w:type="paragraph" w:styleId="1184">
    <w:name w:val="二级条标题"/>
    <w:basedOn w:val="1185"/>
    <w:next w:val="922"/>
    <w:link w:val="922"/>
    <w:pPr>
      <w:ind w:left="480" w:hanging="480"/>
      <w:tabs>
        <w:tab w:val="left" w:pos="480" w:leader="none"/>
      </w:tabs>
      <w:outlineLvl w:val="3"/>
    </w:pPr>
    <w:rPr>
      <w:rFonts w:ascii="Calibri" w:hAnsi="Calibri" w:eastAsia="宋体" w:cs="Times New Roman"/>
    </w:rPr>
  </w:style>
  <w:style w:type="paragraph" w:styleId="1185">
    <w:name w:val="一级条标题"/>
    <w:basedOn w:val="922"/>
    <w:next w:val="922"/>
    <w:link w:val="922"/>
    <w:pPr>
      <w:ind w:left="420"/>
      <w:widowControl/>
      <w:tabs>
        <w:tab w:val="left" w:pos="360" w:leader="none"/>
      </w:tabs>
      <w:outlineLvl w:val="2"/>
    </w:pPr>
    <w:rPr>
      <w:rFonts w:ascii="黑体" w:hAnsi="Calibri" w:eastAsia="黑体" w:cs="Times New Roman"/>
      <w:szCs w:val="20"/>
    </w:rPr>
  </w:style>
  <w:style w:type="paragraph" w:styleId="1186">
    <w:name w:val="无间隔"/>
    <w:next w:val="1186"/>
    <w:link w:val="922"/>
    <w:qFormat/>
    <w:pPr>
      <w:widowControl w:val="off"/>
    </w:pPr>
    <w:rPr>
      <w:sz w:val="24"/>
      <w:szCs w:val="24"/>
      <w:lang w:val="en-US" w:eastAsia="zh-CN" w:bidi="ar-SA"/>
    </w:rPr>
  </w:style>
  <w:style w:type="paragraph" w:styleId="1187">
    <w:name w:val="纯文本11"/>
    <w:basedOn w:val="922"/>
    <w:next w:val="1187"/>
    <w:link w:val="922"/>
    <w:rPr>
      <w:rFonts w:hint="eastAsia" w:ascii="宋体" w:hAnsi="Courier New" w:eastAsia="楷体_GB2312" w:cs="Times New Roman"/>
      <w:sz w:val="28"/>
      <w:szCs w:val="20"/>
    </w:rPr>
  </w:style>
  <w:style w:type="paragraph" w:styleId="1188">
    <w:name w:val="Char11"/>
    <w:basedOn w:val="922"/>
    <w:next w:val="1188"/>
    <w:link w:val="922"/>
    <w:pPr>
      <w:jc w:val="left"/>
      <w:spacing w:after="160" w:line="240" w:lineRule="exact"/>
      <w:widowControl/>
    </w:pPr>
    <w:rPr>
      <w:rFonts w:ascii="Verdana" w:hAnsi="Verdana" w:eastAsia="宋体" w:cs="Times New Roman"/>
      <w:sz w:val="20"/>
      <w:szCs w:val="20"/>
      <w:lang w:eastAsia="en-US"/>
    </w:rPr>
  </w:style>
  <w:style w:type="paragraph" w:styleId="1189">
    <w:name w:val="font10"/>
    <w:basedOn w:val="922"/>
    <w:next w:val="1189"/>
    <w:link w:val="922"/>
    <w:pPr>
      <w:jc w:val="left"/>
      <w:spacing w:before="100" w:beforeAutospacing="1" w:after="100" w:afterAutospacing="1"/>
      <w:widowControl/>
    </w:pPr>
    <w:rPr>
      <w:rFonts w:ascii="宋体" w:hAnsi="宋体" w:eastAsia="宋体" w:cs="宋体"/>
      <w:szCs w:val="21"/>
    </w:rPr>
  </w:style>
  <w:style w:type="paragraph" w:styleId="1190">
    <w:name w:val="正文文字"/>
    <w:basedOn w:val="922"/>
    <w:next w:val="1190"/>
    <w:link w:val="922"/>
    <w:pPr>
      <w:spacing w:after="156" w:line="300" w:lineRule="auto"/>
    </w:pPr>
    <w:rPr>
      <w:rFonts w:ascii="Times New Roman" w:hAnsi="Times New Roman" w:eastAsia="宋体" w:cs="Times New Roman"/>
      <w:szCs w:val="20"/>
    </w:rPr>
  </w:style>
  <w:style w:type="paragraph" w:styleId="1191">
    <w:name w:val="标准正文"/>
    <w:basedOn w:val="959"/>
    <w:next w:val="1191"/>
    <w:link w:val="922"/>
    <w:pPr>
      <w:ind w:left="0" w:firstLine="482"/>
      <w:spacing w:before="60" w:after="60" w:line="360" w:lineRule="auto"/>
    </w:pPr>
    <w:rPr>
      <w:rFonts w:ascii="Arial" w:hAnsi="Arial" w:eastAsia="宋体" w:cs="Times New Roman"/>
      <w:szCs w:val="24"/>
    </w:rPr>
  </w:style>
  <w:style w:type="paragraph" w:styleId="1192">
    <w:name w:val="五级条标题"/>
    <w:basedOn w:val="1193"/>
    <w:next w:val="922"/>
    <w:link w:val="922"/>
    <w:pPr>
      <w:tabs>
        <w:tab w:val="left" w:pos="2520" w:leader="none"/>
      </w:tabs>
      <w:outlineLvl w:val="6"/>
    </w:pPr>
    <w:rPr>
      <w:rFonts w:ascii="Calibri" w:hAnsi="Calibri" w:eastAsia="宋体" w:cs="Times New Roman"/>
    </w:rPr>
  </w:style>
  <w:style w:type="paragraph" w:styleId="1193">
    <w:name w:val="四级条标题"/>
    <w:basedOn w:val="1194"/>
    <w:next w:val="922"/>
    <w:link w:val="922"/>
    <w:pPr>
      <w:ind w:left="480"/>
      <w:tabs>
        <w:tab w:val="left" w:pos="2100" w:leader="none"/>
      </w:tabs>
      <w:outlineLvl w:val="5"/>
    </w:pPr>
    <w:rPr>
      <w:rFonts w:ascii="Calibri" w:hAnsi="Calibri" w:eastAsia="宋体" w:cs="Times New Roman"/>
    </w:rPr>
  </w:style>
  <w:style w:type="paragraph" w:styleId="1194">
    <w:name w:val="三级条标题"/>
    <w:basedOn w:val="1184"/>
    <w:next w:val="922"/>
    <w:link w:val="922"/>
    <w:pPr>
      <w:ind w:left="0"/>
      <w:tabs>
        <w:tab w:val="left" w:pos="360" w:leader="none"/>
      </w:tabs>
      <w:outlineLvl w:val="4"/>
    </w:pPr>
    <w:rPr>
      <w:rFonts w:ascii="Calibri" w:hAnsi="Calibri" w:eastAsia="宋体" w:cs="Times New Roman"/>
    </w:rPr>
  </w:style>
  <w:style w:type="paragraph" w:styleId="1195">
    <w:name w:val="Default Paragraph Font Para Char Char Char Char Char Char"/>
    <w:basedOn w:val="922"/>
    <w:next w:val="1195"/>
    <w:link w:val="922"/>
    <w:pPr>
      <w:jc w:val="left"/>
      <w:spacing w:after="160" w:line="240" w:lineRule="exact"/>
      <w:widowControl/>
    </w:pPr>
    <w:rPr>
      <w:rFonts w:ascii="Verdana" w:hAnsi="Verdana" w:eastAsia="宋体" w:cs="Times New Roman"/>
      <w:sz w:val="20"/>
      <w:szCs w:val="20"/>
      <w:lang w:eastAsia="en-US"/>
    </w:rPr>
  </w:style>
  <w:style w:type="paragraph" w:styleId="1196">
    <w:name w:val="表文字"/>
    <w:next w:val="1196"/>
    <w:link w:val="922"/>
    <w:rPr>
      <w:rFonts w:ascii="宋体"/>
      <w:lang w:val="en-US" w:eastAsia="zh-CN" w:bidi="ar-SA"/>
    </w:rPr>
  </w:style>
  <w:style w:type="paragraph" w:styleId="1197">
    <w:name w:val="xl27"/>
    <w:basedOn w:val="922"/>
    <w:next w:val="1197"/>
    <w:link w:val="92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198">
    <w:name w:val="xl77"/>
    <w:basedOn w:val="922"/>
    <w:next w:val="119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99">
    <w:name w:val="样式 四号 首行缩进:  2 字符"/>
    <w:basedOn w:val="922"/>
    <w:next w:val="1199"/>
    <w:link w:val="922"/>
    <w:pPr>
      <w:ind w:firstLine="560"/>
      <w:spacing w:line="360" w:lineRule="auto"/>
    </w:pPr>
    <w:rPr>
      <w:rFonts w:ascii="Times New Roman" w:hAnsi="Times New Roman" w:eastAsia="宋体" w:cs="Times New Roman"/>
      <w:sz w:val="24"/>
      <w:szCs w:val="28"/>
    </w:rPr>
  </w:style>
  <w:style w:type="paragraph" w:styleId="1200">
    <w:name w:val="默认段落字体 Para Char Char Char Char"/>
    <w:basedOn w:val="922"/>
    <w:next w:val="1200"/>
    <w:link w:val="922"/>
    <w:rPr>
      <w:rFonts w:ascii="Times New Roman" w:hAnsi="Times New Roman" w:eastAsia="宋体" w:cs="Times New Roman"/>
      <w:sz w:val="20"/>
      <w:szCs w:val="20"/>
    </w:rPr>
  </w:style>
  <w:style w:type="paragraph" w:styleId="1201">
    <w:name w:val="目录1"/>
    <w:basedOn w:val="922"/>
    <w:next w:val="1201"/>
    <w:link w:val="922"/>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02">
    <w:name w:val="xl29"/>
    <w:basedOn w:val="922"/>
    <w:next w:val="1202"/>
    <w:link w:val="92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203">
    <w:name w:val="xl25"/>
    <w:basedOn w:val="922"/>
    <w:next w:val="1203"/>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04">
    <w:name w:val="paragraph1"/>
    <w:basedOn w:val="922"/>
    <w:next w:val="1204"/>
    <w:link w:val="922"/>
    <w:pPr>
      <w:ind w:firstLine="480"/>
      <w:spacing w:after="93" w:line="360" w:lineRule="auto"/>
    </w:pPr>
    <w:rPr>
      <w:rFonts w:ascii="Times New Roman" w:hAnsi="Times New Roman" w:eastAsia="宋体" w:cs="Times New Roman"/>
      <w:sz w:val="24"/>
    </w:rPr>
  </w:style>
  <w:style w:type="paragraph" w:styleId="1205">
    <w:name w:val="xl65"/>
    <w:basedOn w:val="922"/>
    <w:next w:val="1205"/>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06">
    <w:name w:val="xl54"/>
    <w:basedOn w:val="922"/>
    <w:next w:val="1206"/>
    <w:link w:val="922"/>
    <w:pPr>
      <w:jc w:val="center"/>
      <w:spacing w:before="100" w:beforeAutospacing="1" w:after="100" w:afterAutospacing="1"/>
      <w:widowControl/>
    </w:pPr>
    <w:rPr>
      <w:rFonts w:hint="eastAsia" w:ascii="隶书" w:hAnsi="宋体" w:eastAsia="隶书" w:cs="Times New Roman"/>
      <w:sz w:val="48"/>
      <w:szCs w:val="48"/>
    </w:rPr>
  </w:style>
  <w:style w:type="paragraph" w:styleId="1207">
    <w:name w:val="Char1 Char Char Char Char Char Char"/>
    <w:basedOn w:val="922"/>
    <w:next w:val="1207"/>
    <w:link w:val="922"/>
    <w:rPr>
      <w:rFonts w:ascii="Tahoma" w:hAnsi="Tahoma" w:eastAsia="宋体" w:cs="Times New Roman"/>
      <w:sz w:val="24"/>
      <w:szCs w:val="20"/>
    </w:rPr>
  </w:style>
  <w:style w:type="paragraph" w:styleId="1208">
    <w:name w:val="xl70"/>
    <w:basedOn w:val="922"/>
    <w:next w:val="120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09">
    <w:name w:val="有符号正文"/>
    <w:basedOn w:val="922"/>
    <w:next w:val="1209"/>
    <w:link w:val="922"/>
    <w:pPr>
      <w:ind w:firstLine="200"/>
      <w:spacing w:line="400" w:lineRule="exact"/>
    </w:pPr>
    <w:rPr>
      <w:rFonts w:ascii="Arial" w:hAnsi="Arial" w:eastAsia="宋体" w:cs="Times New Roman"/>
    </w:rPr>
  </w:style>
  <w:style w:type="paragraph" w:styleId="1210">
    <w:name w:val="xl41"/>
    <w:basedOn w:val="922"/>
    <w:next w:val="1210"/>
    <w:link w:val="922"/>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211">
    <w:name w:val="样式 仿宋_GB2312 四号 黑色 左 行距: 1.5 倍行距"/>
    <w:basedOn w:val="922"/>
    <w:next w:val="1211"/>
    <w:link w:val="922"/>
    <w:pPr>
      <w:jc w:val="left"/>
      <w:spacing w:line="360" w:lineRule="auto"/>
    </w:pPr>
    <w:rPr>
      <w:rFonts w:ascii="仿宋_GB2312" w:hAnsi="宋体" w:eastAsia="仿宋_GB2312" w:cs="Times New Roman"/>
      <w:color w:val="000000"/>
      <w:sz w:val="24"/>
      <w:szCs w:val="20"/>
    </w:rPr>
  </w:style>
  <w:style w:type="paragraph" w:styleId="1212">
    <w:name w:val="小标题 1"/>
    <w:basedOn w:val="922"/>
    <w:next w:val="1212"/>
    <w:link w:val="922"/>
    <w:pPr>
      <w:spacing w:line="360" w:lineRule="atLeast"/>
    </w:pPr>
    <w:rPr>
      <w:rFonts w:ascii="文鼎粗黑" w:hAnsi="Times New Roman" w:eastAsia="文鼎粗黑" w:cs="Times New Roman"/>
      <w:sz w:val="22"/>
      <w:szCs w:val="20"/>
    </w:rPr>
  </w:style>
  <w:style w:type="paragraph" w:styleId="1213">
    <w:name w:val="FA正文"/>
    <w:basedOn w:val="922"/>
    <w:next w:val="1213"/>
    <w:link w:val="922"/>
    <w:pPr>
      <w:spacing w:line="360" w:lineRule="auto"/>
    </w:pPr>
    <w:rPr>
      <w:rFonts w:ascii="Times New Roman" w:hAnsi="Times New Roman" w:eastAsia="宋体" w:cs="Times New Roman"/>
      <w:sz w:val="24"/>
      <w:szCs w:val="21"/>
    </w:rPr>
  </w:style>
  <w:style w:type="paragraph" w:styleId="1214">
    <w:name w:val="xl78"/>
    <w:basedOn w:val="922"/>
    <w:next w:val="121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15">
    <w:name w:val="+标题2"/>
    <w:basedOn w:val="924"/>
    <w:next w:val="1215"/>
    <w:link w:val="922"/>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216">
    <w:name w:val="yyn2"/>
    <w:basedOn w:val="922"/>
    <w:next w:val="1216"/>
    <w:link w:val="922"/>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217">
    <w:name w:val="默认段落字体 Para Char Char Char Char Char Char Char Char Char1 Char Char Char Char"/>
    <w:basedOn w:val="922"/>
    <w:next w:val="1217"/>
    <w:link w:val="922"/>
    <w:rPr>
      <w:rFonts w:ascii="Tahoma" w:hAnsi="Tahoma" w:eastAsia="宋体" w:cs="Times New Roman"/>
      <w:sz w:val="24"/>
      <w:szCs w:val="20"/>
    </w:rPr>
  </w:style>
  <w:style w:type="paragraph" w:styleId="1218">
    <w:name w:val="xl40"/>
    <w:basedOn w:val="922"/>
    <w:next w:val="1218"/>
    <w:link w:val="922"/>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19">
    <w:name w:val="Char Char Char Char Char Char Char Char Char1 Char"/>
    <w:basedOn w:val="950"/>
    <w:next w:val="1219"/>
    <w:link w:val="922"/>
    <w:pPr>
      <w:spacing w:line="360" w:lineRule="auto"/>
    </w:pPr>
    <w:rPr>
      <w:rFonts w:ascii="Calibri" w:hAnsi="Calibri" w:eastAsia="宋体" w:cs="Times New Roman"/>
      <w:szCs w:val="24"/>
      <w:lang w:val="en-US" w:eastAsia="zh-CN"/>
    </w:rPr>
  </w:style>
  <w:style w:type="paragraph" w:styleId="1220">
    <w:name w:val="Char Char Char Char Char Char1 Char"/>
    <w:basedOn w:val="922"/>
    <w:next w:val="1220"/>
    <w:link w:val="922"/>
    <w:pPr>
      <w:jc w:val="left"/>
      <w:spacing w:after="160" w:line="240" w:lineRule="exact"/>
      <w:widowControl/>
    </w:pPr>
    <w:rPr>
      <w:rFonts w:ascii="Verdana" w:hAnsi="Verdana" w:eastAsia="宋体" w:cs="Times New Roman"/>
      <w:sz w:val="20"/>
      <w:szCs w:val="20"/>
      <w:lang w:eastAsia="en-US"/>
    </w:rPr>
  </w:style>
  <w:style w:type="paragraph" w:styleId="1221">
    <w:name w:val="表格标题"/>
    <w:basedOn w:val="1222"/>
    <w:next w:val="1221"/>
    <w:link w:val="922"/>
    <w:pPr>
      <w:jc w:val="center"/>
    </w:pPr>
    <w:rPr>
      <w:rFonts w:ascii="Times New Roman" w:hAnsi="Times New Roman" w:eastAsia="宋体" w:cs="Times New Roman"/>
      <w:b/>
    </w:rPr>
  </w:style>
  <w:style w:type="paragraph" w:styleId="1222">
    <w:name w:val="表格正文"/>
    <w:basedOn w:val="922"/>
    <w:next w:val="1222"/>
    <w:link w:val="922"/>
    <w:pPr>
      <w:spacing w:line="240" w:lineRule="atLeast"/>
    </w:pPr>
    <w:rPr>
      <w:rFonts w:ascii="Times New Roman" w:hAnsi="Times New Roman" w:eastAsia="楷体_GB2312" w:cs="Times New Roman"/>
      <w:sz w:val="24"/>
      <w:szCs w:val="20"/>
    </w:rPr>
  </w:style>
  <w:style w:type="paragraph" w:styleId="1223">
    <w:name w:val="+正文 Char Char2 Char Char"/>
    <w:basedOn w:val="922"/>
    <w:next w:val="1223"/>
    <w:link w:val="922"/>
    <w:pPr>
      <w:ind w:firstLine="200"/>
      <w:spacing w:line="360" w:lineRule="auto"/>
    </w:pPr>
    <w:rPr>
      <w:rFonts w:ascii="Calibri" w:hAnsi="Calibri" w:eastAsia="宋体" w:cs="Times New Roman"/>
      <w:sz w:val="24"/>
      <w:szCs w:val="28"/>
    </w:rPr>
  </w:style>
  <w:style w:type="paragraph" w:styleId="1224">
    <w:name w:val="样式 标题 5H5h5Second Subheadingdashdsdddash1ds1dd1dash2d..."/>
    <w:basedOn w:val="927"/>
    <w:next w:val="1224"/>
    <w:link w:val="922"/>
    <w:pPr>
      <w:keepLines w:val="0"/>
      <w:keepNext w:val="0"/>
      <w:spacing w:before="468" w:after="312" w:line="360" w:lineRule="auto"/>
      <w:tabs>
        <w:tab w:val="left" w:pos="1800" w:leader="none"/>
      </w:tabs>
    </w:pPr>
    <w:rPr>
      <w:rFonts w:ascii="黑体" w:hAnsi="Times New Roman" w:eastAsia="黑体" w:cs="宋体"/>
      <w:sz w:val="24"/>
      <w:szCs w:val="20"/>
    </w:rPr>
  </w:style>
  <w:style w:type="paragraph" w:styleId="1225">
    <w:name w:val="xl42"/>
    <w:basedOn w:val="922"/>
    <w:next w:val="1225"/>
    <w:link w:val="922"/>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26">
    <w:name w:val="pa-0"/>
    <w:basedOn w:val="922"/>
    <w:next w:val="1226"/>
    <w:link w:val="922"/>
    <w:pPr>
      <w:jc w:val="left"/>
      <w:spacing w:before="150" w:after="150"/>
      <w:widowControl/>
    </w:pPr>
    <w:rPr>
      <w:rFonts w:ascii="宋体" w:hAnsi="宋体" w:eastAsia="宋体" w:cs="宋体"/>
      <w:sz w:val="24"/>
    </w:rPr>
  </w:style>
  <w:style w:type="paragraph" w:styleId="1227">
    <w:name w:val="Plain Text"/>
    <w:basedOn w:val="922"/>
    <w:next w:val="1227"/>
    <w:link w:val="922"/>
    <w:rPr>
      <w:rFonts w:hint="eastAsia" w:ascii="宋体" w:hAnsi="Courier New" w:eastAsia="楷体_GB2312" w:cs="Times New Roman"/>
      <w:sz w:val="28"/>
      <w:szCs w:val="20"/>
    </w:rPr>
  </w:style>
  <w:style w:type="paragraph" w:styleId="1228">
    <w:name w:val="font11"/>
    <w:basedOn w:val="922"/>
    <w:next w:val="1228"/>
    <w:link w:val="922"/>
    <w:pPr>
      <w:jc w:val="left"/>
      <w:spacing w:before="100" w:beforeAutospacing="1" w:after="100" w:afterAutospacing="1"/>
      <w:widowControl/>
    </w:pPr>
    <w:rPr>
      <w:rFonts w:ascii="宋体" w:hAnsi="宋体" w:eastAsia="宋体" w:cs="宋体"/>
      <w:color w:val="000000"/>
      <w:sz w:val="18"/>
      <w:szCs w:val="18"/>
    </w:rPr>
  </w:style>
  <w:style w:type="paragraph" w:styleId="1229">
    <w:name w:val="正文4"/>
    <w:basedOn w:val="922"/>
    <w:next w:val="1229"/>
    <w:link w:val="922"/>
    <w:pPr>
      <w:ind w:firstLine="480"/>
      <w:spacing w:line="360" w:lineRule="auto"/>
    </w:pPr>
    <w:rPr>
      <w:rFonts w:ascii="宋体" w:hAnsi="宋体" w:eastAsia="宋体" w:cs="Times New Roman"/>
      <w:sz w:val="24"/>
    </w:rPr>
  </w:style>
  <w:style w:type="paragraph" w:styleId="1230">
    <w:name w:val="符号与编号"/>
    <w:basedOn w:val="922"/>
    <w:next w:val="1230"/>
    <w:link w:val="922"/>
    <w:pPr>
      <w:ind w:left="425" w:hanging="425"/>
      <w:spacing w:line="360" w:lineRule="auto"/>
      <w:tabs>
        <w:tab w:val="left" w:pos="425" w:leader="none"/>
      </w:tabs>
    </w:pPr>
    <w:rPr>
      <w:rFonts w:ascii="宋体" w:hAnsi="宋体" w:eastAsia="宋体" w:cs="Times New Roman"/>
      <w:sz w:val="28"/>
      <w:szCs w:val="28"/>
    </w:rPr>
  </w:style>
  <w:style w:type="paragraph" w:styleId="1231">
    <w:name w:val="xl76"/>
    <w:basedOn w:val="922"/>
    <w:next w:val="1231"/>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32">
    <w:name w:val="xl71"/>
    <w:basedOn w:val="922"/>
    <w:next w:val="1232"/>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33">
    <w:name w:val="P1"/>
    <w:next w:val="1233"/>
    <w:link w:val="922"/>
    <w:pPr>
      <w:ind w:left="2304" w:hanging="576"/>
      <w:jc w:val="both"/>
      <w:spacing w:after="240" w:line="0" w:lineRule="atLeast"/>
      <w:widowControl w:val="off"/>
    </w:pPr>
    <w:rPr>
      <w:rFonts w:eastAsia="全真中明體"/>
      <w:spacing w:val="30"/>
      <w:sz w:val="24"/>
      <w:lang w:val="en-GB" w:eastAsia="zh-TW" w:bidi="ar-SA"/>
    </w:rPr>
  </w:style>
  <w:style w:type="paragraph" w:styleId="1234">
    <w:name w:val="List Paragraph"/>
    <w:basedOn w:val="922"/>
    <w:next w:val="1234"/>
    <w:link w:val="922"/>
    <w:pPr>
      <w:ind w:firstLine="420"/>
    </w:pPr>
    <w:rPr>
      <w:rFonts w:ascii="Times New Roman" w:hAnsi="Times New Roman" w:eastAsia="宋体" w:cs="Times New Roman"/>
      <w:szCs w:val="20"/>
    </w:rPr>
  </w:style>
  <w:style w:type="paragraph" w:styleId="1235">
    <w:name w:val="p0"/>
    <w:basedOn w:val="922"/>
    <w:next w:val="1235"/>
    <w:link w:val="922"/>
    <w:qFormat/>
    <w:pPr>
      <w:jc w:val="left"/>
      <w:spacing w:before="100" w:beforeAutospacing="1" w:after="100" w:afterAutospacing="1"/>
      <w:widowControl/>
    </w:pPr>
    <w:rPr>
      <w:rFonts w:ascii="宋体" w:hAnsi="宋体" w:eastAsia="宋体" w:cs="宋体"/>
      <w:sz w:val="24"/>
    </w:rPr>
  </w:style>
  <w:style w:type="paragraph" w:styleId="1236">
    <w:name w:val="纯文本111"/>
    <w:basedOn w:val="922"/>
    <w:next w:val="1236"/>
    <w:link w:val="922"/>
    <w:pPr>
      <w:jc w:val="left"/>
      <w:widowControl/>
    </w:pPr>
    <w:rPr>
      <w:rFonts w:ascii="宋体" w:hAnsi="Courier New" w:eastAsia="楷体_GB2312" w:cs="Times New Roman"/>
      <w:sz w:val="26"/>
      <w:szCs w:val="20"/>
    </w:rPr>
  </w:style>
  <w:style w:type="paragraph" w:styleId="1237">
    <w:name w:val="body3"/>
    <w:basedOn w:val="922"/>
    <w:next w:val="926"/>
    <w:link w:val="922"/>
    <w:pPr>
      <w:ind w:left="2610" w:right="210"/>
      <w:jc w:val="left"/>
      <w:spacing w:line="0" w:lineRule="atLeast"/>
      <w:widowControl/>
    </w:pPr>
    <w:rPr>
      <w:rFonts w:ascii="宋体" w:hAnsi="Times New Roman" w:eastAsia="宋体" w:cs="Times New Roman"/>
      <w:sz w:val="28"/>
      <w:szCs w:val="20"/>
    </w:rPr>
  </w:style>
  <w:style w:type="paragraph" w:styleId="1238">
    <w:name w:val="+●"/>
    <w:basedOn w:val="1177"/>
    <w:next w:val="1238"/>
    <w:link w:val="922"/>
    <w:pPr>
      <w:ind w:left="2940" w:firstLine="0"/>
      <w:tabs>
        <w:tab w:val="left" w:pos="2940" w:leader="none"/>
      </w:tabs>
    </w:pPr>
    <w:rPr>
      <w:rFonts w:ascii="Calibri" w:hAnsi="Calibri" w:eastAsia="宋体" w:cs="Times New Roman"/>
    </w:rPr>
  </w:style>
  <w:style w:type="paragraph" w:styleId="1239">
    <w:name w:val="Char Char Char Char Char Char Char1"/>
    <w:basedOn w:val="922"/>
    <w:next w:val="1239"/>
    <w:link w:val="922"/>
    <w:pPr>
      <w:ind w:firstLine="480"/>
      <w:spacing w:line="360" w:lineRule="auto"/>
    </w:pPr>
    <w:rPr>
      <w:rFonts w:ascii="Tahoma" w:hAnsi="Tahoma" w:eastAsia="宋体" w:cs="Times New Roman"/>
      <w:sz w:val="24"/>
      <w:szCs w:val="20"/>
    </w:rPr>
  </w:style>
  <w:style w:type="paragraph" w:styleId="1240">
    <w:name w:val="列表段落"/>
    <w:basedOn w:val="922"/>
    <w:next w:val="1240"/>
    <w:link w:val="922"/>
    <w:qFormat/>
    <w:pPr>
      <w:ind w:firstLine="420"/>
    </w:pPr>
    <w:rPr>
      <w:rFonts w:ascii="Calibri" w:hAnsi="Calibri" w:eastAsia="宋体" w:cs="Times New Roman"/>
      <w:szCs w:val="22"/>
    </w:rPr>
  </w:style>
  <w:style w:type="paragraph" w:styleId="1241">
    <w:name w:val="样式 目录 3 + 左侧:  1.71 字符"/>
    <w:basedOn w:val="963"/>
    <w:next w:val="1241"/>
    <w:link w:val="922"/>
    <w:pPr>
      <w:ind w:left="480" w:firstLine="420"/>
      <w:tabs>
        <w:tab w:val="right" w:pos="8296" w:leader="dot"/>
      </w:tabs>
    </w:pPr>
    <w:rPr>
      <w:rFonts w:ascii="Times New Roman" w:hAnsi="Times New Roman" w:eastAsia="宋体" w:cs="Times New Roman"/>
      <w:szCs w:val="20"/>
    </w:rPr>
  </w:style>
  <w:style w:type="paragraph" w:styleId="1242">
    <w:name w:val="样式 标题 4 + (西文) 宋体 小四"/>
    <w:basedOn w:val="922"/>
    <w:next w:val="1242"/>
    <w:link w:val="922"/>
    <w:pPr>
      <w:spacing w:line="360" w:lineRule="auto"/>
    </w:pPr>
    <w:rPr>
      <w:rFonts w:ascii="宋体" w:hAnsi="宋体" w:eastAsia="仿宋_GB2312" w:cs="Times New Roman"/>
      <w:sz w:val="24"/>
      <w:szCs w:val="20"/>
    </w:rPr>
  </w:style>
  <w:style w:type="paragraph" w:styleId="1243">
    <w:name w:val="样式 正文缩进 + 首行缩进:  2 字符"/>
    <w:basedOn w:val="941"/>
    <w:next w:val="1243"/>
    <w:link w:val="922"/>
    <w:pPr>
      <w:ind w:firstLine="480"/>
      <w:jc w:val="both"/>
      <w:spacing w:line="360" w:lineRule="auto"/>
    </w:pPr>
    <w:rPr>
      <w:rFonts w:ascii="Times New Roman" w:hAnsi="Times New Roman" w:eastAsia="宋体" w:cs="宋体"/>
    </w:rPr>
  </w:style>
  <w:style w:type="paragraph" w:styleId="1244">
    <w:name w:val="样式 标题4 + &amp;#23435.&amp;#20307. 五号 段前: 自动 段后: 自动"/>
    <w:basedOn w:val="941"/>
    <w:next w:val="1244"/>
    <w:link w:val="922"/>
    <w:pPr>
      <w:ind w:firstLine="200"/>
      <w:spacing w:line="360" w:lineRule="auto"/>
      <w:widowControl/>
    </w:pPr>
    <w:rPr>
      <w:rFonts w:ascii="&amp;#23435;&amp;#20307;" w:hAnsi="&amp;#23435;&amp;#20307;" w:eastAsia="宋体" w:cs="Times New Roman"/>
      <w:color w:val="000000"/>
    </w:rPr>
  </w:style>
  <w:style w:type="paragraph" w:styleId="1245">
    <w:name w:val="font6"/>
    <w:basedOn w:val="922"/>
    <w:next w:val="1245"/>
    <w:link w:val="922"/>
    <w:pPr>
      <w:jc w:val="left"/>
      <w:spacing w:before="100" w:beforeAutospacing="1" w:after="100" w:afterAutospacing="1"/>
      <w:widowControl/>
    </w:pPr>
    <w:rPr>
      <w:rFonts w:hint="eastAsia" w:ascii="宋体" w:hAnsi="宋体" w:eastAsia="宋体" w:cs="Times New Roman"/>
      <w:sz w:val="18"/>
      <w:szCs w:val="18"/>
    </w:rPr>
  </w:style>
  <w:style w:type="paragraph" w:styleId="1246">
    <w:name w:val="勾"/>
    <w:basedOn w:val="922"/>
    <w:next w:val="1246"/>
    <w:link w:val="922"/>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247">
    <w:name w:val="样式1"/>
    <w:basedOn w:val="922"/>
    <w:next w:val="1247"/>
    <w:link w:val="922"/>
    <w:pPr>
      <w:ind w:left="660" w:hanging="660"/>
      <w:tabs>
        <w:tab w:val="left" w:pos="660" w:leader="none"/>
        <w:tab w:val="left" w:pos="709" w:leader="none"/>
      </w:tabs>
    </w:pPr>
    <w:rPr>
      <w:rFonts w:ascii="宋体" w:hAnsi="宋体" w:eastAsia="宋体" w:cs="Times New Roman"/>
      <w:szCs w:val="21"/>
    </w:rPr>
  </w:style>
  <w:style w:type="paragraph" w:styleId="1248">
    <w:name w:val="Char Char Char Char Char Char Char Char Char Char Char Char Char Char Char Char"/>
    <w:basedOn w:val="922"/>
    <w:next w:val="1248"/>
    <w:link w:val="922"/>
    <w:rPr>
      <w:rFonts w:ascii="仿宋_GB2312" w:hAnsi="Times New Roman" w:eastAsia="仿宋_GB2312" w:cs="Times New Roman"/>
      <w:b/>
      <w:sz w:val="28"/>
      <w:szCs w:val="20"/>
    </w:rPr>
  </w:style>
  <w:style w:type="paragraph" w:styleId="1249">
    <w:name w:val="xl37"/>
    <w:basedOn w:val="922"/>
    <w:next w:val="1249"/>
    <w:link w:val="92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250">
    <w:name w:val="正文(首行缩进)"/>
    <w:next w:val="1250"/>
    <w:link w:val="922"/>
    <w:pPr>
      <w:ind w:firstLine="420"/>
      <w:jc w:val="both"/>
      <w:spacing w:line="360" w:lineRule="auto"/>
    </w:pPr>
    <w:rPr>
      <w:rFonts w:ascii="宋体" w:hAnsi="宋体"/>
      <w:sz w:val="24"/>
      <w:szCs w:val="24"/>
      <w:lang w:val="en-US" w:eastAsia="zh-CN" w:bidi="ar-SA"/>
    </w:rPr>
  </w:style>
  <w:style w:type="paragraph" w:styleId="1251">
    <w:name w:val="+1."/>
    <w:basedOn w:val="1177"/>
    <w:next w:val="1251"/>
    <w:link w:val="922"/>
    <w:pPr>
      <w:ind w:left="198" w:firstLine="0"/>
      <w:tabs>
        <w:tab w:val="left" w:pos="624" w:leader="none"/>
      </w:tabs>
    </w:pPr>
    <w:rPr>
      <w:rFonts w:ascii="Calibri" w:hAnsi="Calibri" w:eastAsia="宋体" w:cs="Times New Roman"/>
    </w:rPr>
  </w:style>
  <w:style w:type="paragraph" w:styleId="1252">
    <w:name w:val="xl30"/>
    <w:basedOn w:val="922"/>
    <w:next w:val="1252"/>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53">
    <w:name w:val="公司名称"/>
    <w:basedOn w:val="922"/>
    <w:next w:val="1253"/>
    <w:link w:val="922"/>
    <w:pPr>
      <w:jc w:val="center"/>
      <w:spacing w:line="360" w:lineRule="auto"/>
      <w:tabs>
        <w:tab w:val="left" w:pos="540" w:leader="none"/>
      </w:tabs>
    </w:pPr>
    <w:rPr>
      <w:rFonts w:ascii="Times New Roman" w:hAnsi="Times New Roman" w:eastAsia="黑体" w:cs="Times New Roman"/>
      <w:b/>
      <w:sz w:val="32"/>
      <w:szCs w:val="48"/>
    </w:rPr>
  </w:style>
  <w:style w:type="paragraph" w:styleId="1254">
    <w:name w:val="样式 标题 3h3H3sect1.2.3l3CT第二层条3rd level31.1.1BOD 0h31h..."/>
    <w:basedOn w:val="925"/>
    <w:next w:val="1254"/>
    <w:link w:val="922"/>
    <w:pPr>
      <w:spacing w:before="120" w:after="80" w:line="360" w:lineRule="auto"/>
    </w:pPr>
    <w:rPr>
      <w:rFonts w:ascii="Arial" w:hAnsi="Arial" w:eastAsia="黑体" w:cs="Times New Roman"/>
      <w:b w:val="0"/>
      <w:bCs w:val="0"/>
      <w:sz w:val="30"/>
      <w:szCs w:val="20"/>
    </w:rPr>
  </w:style>
  <w:style w:type="paragraph" w:styleId="1255">
    <w:name w:val="标书正文"/>
    <w:basedOn w:val="957"/>
    <w:next w:val="1255"/>
    <w:link w:val="922"/>
    <w:pPr>
      <w:ind w:firstLine="200"/>
      <w:jc w:val="both"/>
      <w:spacing w:before="156" w:after="156" w:line="400" w:lineRule="exact"/>
      <w:widowControl/>
    </w:pPr>
    <w:rPr>
      <w:rFonts w:ascii="黑体" w:hAnsi="Times New Roman" w:eastAsia="宋体" w:cs="Times New Roman"/>
      <w:position w:val="0"/>
      <w:sz w:val="24"/>
    </w:rPr>
  </w:style>
  <w:style w:type="paragraph" w:styleId="1256">
    <w:name w:val="xl75"/>
    <w:basedOn w:val="922"/>
    <w:next w:val="1256"/>
    <w:link w:val="92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57">
    <w:name w:val="列表内容"/>
    <w:basedOn w:val="922"/>
    <w:next w:val="922"/>
    <w:link w:val="922"/>
    <w:pPr>
      <w:ind w:firstLine="200"/>
      <w:jc w:val="left"/>
      <w:widowControl/>
      <w:tabs>
        <w:tab w:val="left" w:pos="840" w:leader="none"/>
      </w:tabs>
    </w:pPr>
    <w:rPr>
      <w:rFonts w:ascii="Calibri" w:hAnsi="Calibri" w:eastAsia="宋体" w:cs="Times New Roman"/>
      <w:sz w:val="18"/>
    </w:rPr>
  </w:style>
  <w:style w:type="paragraph" w:styleId="1258">
    <w:name w:val="样式 段落缩进2 小四 + 段前: 15.6 磅"/>
    <w:basedOn w:val="1153"/>
    <w:next w:val="1258"/>
    <w:link w:val="922"/>
    <w:pPr>
      <w:spacing w:before="312"/>
      <w:tabs>
        <w:tab w:val="left" w:pos="1800" w:leader="none"/>
      </w:tabs>
    </w:pPr>
    <w:rPr>
      <w:rFonts w:ascii="Times New Roman" w:hAnsi="Times New Roman" w:eastAsia="宋体" w:cs="Times New Roman"/>
      <w:szCs w:val="20"/>
    </w:rPr>
  </w:style>
  <w:style w:type="paragraph" w:styleId="1259">
    <w:name w:val="EHPT"/>
    <w:basedOn w:val="922"/>
    <w:next w:val="957"/>
    <w:link w:val="922"/>
    <w:pPr>
      <w:ind w:right="-694"/>
    </w:pPr>
    <w:rPr>
      <w:rFonts w:ascii="Times New Roman" w:hAnsi="Times New Roman" w:eastAsia="宋体" w:cs="Times New Roman"/>
      <w:sz w:val="24"/>
      <w:szCs w:val="20"/>
    </w:rPr>
  </w:style>
  <w:style w:type="paragraph" w:styleId="1260">
    <w:name w:val="普文W"/>
    <w:basedOn w:val="964"/>
    <w:next w:val="1260"/>
    <w:link w:val="922"/>
    <w:pPr>
      <w:spacing w:before="120" w:after="120" w:line="360" w:lineRule="auto"/>
    </w:pPr>
    <w:rPr>
      <w:rFonts w:ascii="Times New Roman" w:hAnsi="Times New Roman" w:eastAsia="宋体" w:cs="Times New Roman"/>
      <w:sz w:val="24"/>
    </w:rPr>
  </w:style>
  <w:style w:type="paragraph" w:styleId="1261">
    <w:name w:val="Char Char1 Char Char Char Char Char Char Char"/>
    <w:basedOn w:val="922"/>
    <w:next w:val="1261"/>
    <w:link w:val="922"/>
    <w:rPr>
      <w:rFonts w:ascii="Tahoma" w:hAnsi="Tahoma" w:eastAsia="宋体" w:cs="Times New Roman"/>
      <w:sz w:val="24"/>
      <w:szCs w:val="20"/>
    </w:rPr>
  </w:style>
  <w:style w:type="paragraph" w:styleId="1262">
    <w:name w:val="默认段落字体 Para Char Char Char Char Char Char Char"/>
    <w:basedOn w:val="922"/>
    <w:next w:val="1262"/>
    <w:link w:val="922"/>
    <w:rPr>
      <w:rFonts w:ascii="Tahoma" w:hAnsi="Tahoma" w:eastAsia="宋体" w:cs="Times New Roman"/>
      <w:sz w:val="24"/>
      <w:szCs w:val="20"/>
    </w:rPr>
  </w:style>
  <w:style w:type="paragraph" w:styleId="1263">
    <w:name w:val="Char Char Char Char Char1 Char Char Char Char Char Char Char"/>
    <w:basedOn w:val="922"/>
    <w:next w:val="1263"/>
    <w:link w:val="922"/>
    <w:rPr>
      <w:rFonts w:ascii="Calibri" w:hAnsi="Calibri" w:eastAsia="宋体" w:cs="Times New Roman"/>
    </w:rPr>
  </w:style>
  <w:style w:type="paragraph" w:styleId="1264">
    <w:name w:val="样式 标题 3h33rd levelHeading 3 - oldH3l3CT3章标题1Level 3 Hea..."/>
    <w:basedOn w:val="925"/>
    <w:next w:val="1264"/>
    <w:link w:val="922"/>
    <w:pPr>
      <w:contextualSpacing/>
      <w:keepLines w:val="0"/>
      <w:keepNext w:val="0"/>
      <w:spacing w:before="120" w:after="120" w:line="288" w:lineRule="auto"/>
    </w:pPr>
    <w:rPr>
      <w:rFonts w:ascii="Arial" w:hAnsi="Arial" w:eastAsia="宋体" w:cs="宋体"/>
      <w:color w:val="000000"/>
      <w:sz w:val="24"/>
      <w:szCs w:val="20"/>
    </w:rPr>
  </w:style>
  <w:style w:type="paragraph" w:styleId="1265">
    <w:name w:val="xl47"/>
    <w:basedOn w:val="922"/>
    <w:next w:val="1265"/>
    <w:link w:val="922"/>
    <w:pPr>
      <w:jc w:val="left"/>
      <w:spacing w:before="100" w:beforeAutospacing="1" w:after="100" w:afterAutospacing="1"/>
      <w:widowControl/>
    </w:pPr>
    <w:rPr>
      <w:rFonts w:hint="eastAsia" w:ascii="仿宋_GB2312" w:hAnsi="宋体" w:eastAsia="仿宋_GB2312" w:cs="Times New Roman"/>
      <w:sz w:val="22"/>
      <w:szCs w:val="22"/>
    </w:rPr>
  </w:style>
  <w:style w:type="paragraph" w:styleId="1266">
    <w:name w:val="xl28"/>
    <w:basedOn w:val="922"/>
    <w:next w:val="1266"/>
    <w:link w:val="922"/>
    <w:pPr>
      <w:jc w:val="left"/>
      <w:spacing w:before="100" w:beforeAutospacing="1" w:after="100" w:afterAutospacing="1"/>
      <w:widowControl/>
    </w:pPr>
    <w:rPr>
      <w:rFonts w:ascii="Times New Roman" w:hAnsi="Times New Roman" w:eastAsia="宋体" w:cs="Times New Roman"/>
      <w:sz w:val="24"/>
    </w:rPr>
  </w:style>
  <w:style w:type="paragraph" w:styleId="1267">
    <w:name w:val="样式 正文文本缩进 2 + Times New Roman 首行缩进:  1.06 厘米 行距: 固定值 30 磅"/>
    <w:basedOn w:val="969"/>
    <w:next w:val="1267"/>
    <w:link w:val="922"/>
    <w:pPr>
      <w:ind w:firstLine="601"/>
      <w:spacing w:line="540" w:lineRule="exact"/>
    </w:pPr>
    <w:rPr>
      <w:rFonts w:ascii="Tahoma" w:hAnsi="Tahoma" w:eastAsia="宋体" w:cs="Times New Roman"/>
      <w:sz w:val="28"/>
      <w:szCs w:val="28"/>
    </w:rPr>
  </w:style>
  <w:style w:type="paragraph" w:styleId="1268">
    <w:name w:val="Body Text1"/>
    <w:basedOn w:val="922"/>
    <w:next w:val="985"/>
    <w:link w:val="922"/>
    <w:pPr>
      <w:ind w:firstLine="480"/>
      <w:spacing w:before="156" w:after="156" w:line="360" w:lineRule="auto"/>
    </w:pPr>
    <w:rPr>
      <w:rFonts w:ascii="Arial" w:hAnsi="Arial" w:eastAsia="宋体" w:cs="Times New Roman"/>
      <w:sz w:val="24"/>
      <w:szCs w:val="20"/>
    </w:rPr>
  </w:style>
  <w:style w:type="paragraph" w:styleId="1269">
    <w:name w:val="Char Char Char Char Char Char Char Char Char1 Char1"/>
    <w:basedOn w:val="950"/>
    <w:next w:val="1269"/>
    <w:link w:val="922"/>
    <w:pPr>
      <w:spacing w:line="360" w:lineRule="auto"/>
    </w:pPr>
    <w:rPr>
      <w:rFonts w:ascii="Tahoma" w:hAnsi="Tahoma" w:eastAsia="宋体" w:cs="Times New Roman"/>
      <w:sz w:val="24"/>
      <w:szCs w:val="24"/>
      <w:lang w:val="en-US" w:eastAsia="zh-CN"/>
    </w:rPr>
  </w:style>
  <w:style w:type="paragraph" w:styleId="1270">
    <w:name w:val="+(1)"/>
    <w:basedOn w:val="1177"/>
    <w:next w:val="1270"/>
    <w:link w:val="922"/>
    <w:pPr>
      <w:ind w:left="1140" w:firstLine="0"/>
      <w:tabs>
        <w:tab w:val="left" w:pos="1140" w:leader="none"/>
      </w:tabs>
    </w:pPr>
    <w:rPr>
      <w:rFonts w:ascii="Calibri" w:hAnsi="Calibri" w:eastAsia="宋体" w:cs="Times New Roman"/>
    </w:rPr>
  </w:style>
  <w:style w:type="paragraph" w:styleId="1271">
    <w:name w:val="默认段落字体 Para Char Char Char"/>
    <w:basedOn w:val="922"/>
    <w:next w:val="1271"/>
    <w:link w:val="922"/>
    <w:pPr>
      <w:ind w:firstLine="200"/>
      <w:spacing w:line="360" w:lineRule="auto"/>
    </w:pPr>
    <w:rPr>
      <w:rFonts w:ascii="Times New Roman" w:hAnsi="Times New Roman" w:eastAsia="宋体" w:cs="Times New Roman"/>
    </w:rPr>
  </w:style>
  <w:style w:type="paragraph" w:styleId="1272">
    <w:name w:val=" Char Char Char Char"/>
    <w:basedOn w:val="922"/>
    <w:next w:val="1272"/>
    <w:link w:val="922"/>
    <w:pPr>
      <w:jc w:val="left"/>
      <w:spacing w:after="160" w:line="240" w:lineRule="exact"/>
      <w:widowControl/>
    </w:pPr>
    <w:rPr>
      <w:rFonts w:ascii="Times New Roman" w:hAnsi="Times New Roman" w:eastAsia="宋体" w:cs="Times New Roman"/>
      <w:sz w:val="24"/>
      <w:szCs w:val="21"/>
    </w:rPr>
  </w:style>
  <w:style w:type="paragraph" w:styleId="1273">
    <w:name w:val="Char Char Char Char Char Char Char Char Char Char Char1 Char Char Char Char Char Char Char Char Char Char"/>
    <w:basedOn w:val="922"/>
    <w:next w:val="1273"/>
    <w:link w:val="922"/>
    <w:rPr>
      <w:rFonts w:ascii="Tahoma" w:hAnsi="Tahoma" w:eastAsia="宋体" w:cs="Times New Roman"/>
      <w:sz w:val="24"/>
      <w:szCs w:val="20"/>
    </w:rPr>
  </w:style>
  <w:style w:type="paragraph" w:styleId="1274">
    <w:name w:val="xl39"/>
    <w:basedOn w:val="922"/>
    <w:next w:val="1274"/>
    <w:link w:val="92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75">
    <w:name w:val="正文_9"/>
    <w:next w:val="1275"/>
    <w:link w:val="922"/>
    <w:pPr>
      <w:jc w:val="both"/>
      <w:widowControl w:val="off"/>
    </w:pPr>
    <w:rPr>
      <w:sz w:val="21"/>
      <w:szCs w:val="24"/>
      <w:lang w:val="en-US" w:eastAsia="zh-CN" w:bidi="ar-SA"/>
    </w:rPr>
  </w:style>
  <w:style w:type="paragraph" w:styleId="1276">
    <w:name w:val="样式 仿宋_GB2312 四号 黑色 行距: 1.5 倍行距"/>
    <w:basedOn w:val="922"/>
    <w:next w:val="1276"/>
    <w:link w:val="922"/>
    <w:pPr>
      <w:ind w:firstLine="560"/>
      <w:spacing w:line="360" w:lineRule="auto"/>
    </w:pPr>
    <w:rPr>
      <w:rFonts w:ascii="仿宋_GB2312" w:hAnsi="宋体" w:eastAsia="仿宋_GB2312" w:cs="Times New Roman"/>
      <w:color w:val="000000"/>
      <w:sz w:val="24"/>
      <w:szCs w:val="20"/>
    </w:rPr>
  </w:style>
  <w:style w:type="paragraph" w:styleId="1277">
    <w:name w:val="正文文本缩进1"/>
    <w:basedOn w:val="922"/>
    <w:next w:val="1277"/>
    <w:link w:val="922"/>
    <w:pPr>
      <w:ind w:left="-360" w:firstLine="540"/>
      <w:jc w:val="left"/>
      <w:widowControl/>
    </w:pPr>
    <w:rPr>
      <w:rFonts w:ascii="宋体" w:hAnsi="宋体" w:eastAsia="宋体" w:cs="Times New Roman"/>
      <w:sz w:val="24"/>
    </w:rPr>
  </w:style>
  <w:style w:type="paragraph" w:styleId="1278">
    <w:name w:val="yehuda"/>
    <w:basedOn w:val="922"/>
    <w:next w:val="1278"/>
    <w:link w:val="922"/>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79">
    <w:name w:val="Char Char Char Char Char Char Char Char Char Char"/>
    <w:basedOn w:val="922"/>
    <w:next w:val="1279"/>
    <w:link w:val="922"/>
    <w:pPr>
      <w:ind w:left="495" w:hanging="495"/>
      <w:tabs>
        <w:tab w:val="left" w:pos="495" w:leader="none"/>
      </w:tabs>
    </w:pPr>
    <w:rPr>
      <w:rFonts w:ascii="Times New Roman" w:hAnsi="Times New Roman" w:eastAsia="宋体" w:cs="Times New Roman"/>
      <w:sz w:val="24"/>
    </w:rPr>
  </w:style>
  <w:style w:type="paragraph" w:styleId="1280">
    <w:name w:val="样式SZA"/>
    <w:basedOn w:val="957"/>
    <w:next w:val="1280"/>
    <w:link w:val="922"/>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281">
    <w:name w:val="纯文本3"/>
    <w:basedOn w:val="922"/>
    <w:next w:val="1281"/>
    <w:link w:val="922"/>
    <w:uiPriority w:val="99"/>
    <w:qFormat/>
    <w:rPr>
      <w:rFonts w:hint="eastAsia" w:ascii="宋体" w:hAnsi="Courier New" w:eastAsia="楷体_GB2312" w:cs="Times New Roman"/>
      <w:sz w:val="28"/>
      <w:szCs w:val="20"/>
    </w:rPr>
  </w:style>
  <w:style w:type="paragraph" w:styleId="1282">
    <w:name w:val="def正文"/>
    <w:basedOn w:val="957"/>
    <w:next w:val="1282"/>
    <w:link w:val="922"/>
    <w:pPr>
      <w:ind w:firstLine="562"/>
      <w:jc w:val="both"/>
      <w:spacing w:line="360" w:lineRule="auto"/>
      <w:widowControl/>
    </w:pPr>
    <w:rPr>
      <w:rFonts w:ascii="楷体_GB2312" w:hAnsi="Times New Roman" w:eastAsia="楷体_GB2312" w:cs="Times New Roman"/>
      <w:b/>
      <w:position w:val="0"/>
      <w:sz w:val="28"/>
      <w:szCs w:val="28"/>
    </w:rPr>
  </w:style>
  <w:style w:type="paragraph" w:styleId="1283">
    <w:name w:val="xl46"/>
    <w:basedOn w:val="922"/>
    <w:next w:val="1283"/>
    <w:link w:val="922"/>
    <w:pPr>
      <w:jc w:val="left"/>
      <w:spacing w:before="100" w:beforeAutospacing="1" w:after="100" w:afterAutospacing="1"/>
      <w:widowControl/>
    </w:pPr>
    <w:rPr>
      <w:rFonts w:hint="eastAsia" w:ascii="仿宋_GB2312" w:hAnsi="宋体" w:eastAsia="仿宋_GB2312" w:cs="Times New Roman"/>
      <w:sz w:val="24"/>
    </w:rPr>
  </w:style>
  <w:style w:type="paragraph" w:styleId="1284">
    <w:name w:val="xl50"/>
    <w:basedOn w:val="922"/>
    <w:next w:val="1284"/>
    <w:link w:val="92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85">
    <w:name w:val="xl32"/>
    <w:basedOn w:val="922"/>
    <w:next w:val="1285"/>
    <w:link w:val="92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86">
    <w:name w:val="样式4"/>
    <w:basedOn w:val="922"/>
    <w:next w:val="1286"/>
    <w:link w:val="922"/>
    <w:pPr>
      <w:ind w:left="420" w:hanging="420"/>
      <w:spacing w:line="360" w:lineRule="auto"/>
      <w:tabs>
        <w:tab w:val="left" w:pos="420" w:leader="none"/>
      </w:tabs>
    </w:pPr>
    <w:rPr>
      <w:rFonts w:ascii="Times New Roman" w:hAnsi="Times New Roman" w:eastAsia="宋体" w:cs="Times New Roman"/>
      <w:sz w:val="24"/>
    </w:rPr>
  </w:style>
  <w:style w:type="paragraph" w:styleId="1287">
    <w:name w:val="标题 4宋体"/>
    <w:basedOn w:val="926"/>
    <w:next w:val="1287"/>
    <w:link w:val="922"/>
    <w:pPr>
      <w:jc w:val="left"/>
      <w:keepLines w:val="0"/>
      <w:spacing w:before="0" w:after="0" w:line="360" w:lineRule="auto"/>
    </w:pPr>
    <w:rPr>
      <w:rFonts w:ascii="宋体" w:hAnsi="宋体" w:eastAsia="宋体" w:cs="Times New Roman"/>
      <w:color w:val="000000"/>
      <w:sz w:val="24"/>
      <w:szCs w:val="20"/>
    </w:rPr>
  </w:style>
  <w:style w:type="paragraph" w:styleId="1288">
    <w:name w:val="font12"/>
    <w:basedOn w:val="922"/>
    <w:next w:val="1288"/>
    <w:link w:val="922"/>
    <w:pPr>
      <w:jc w:val="left"/>
      <w:spacing w:before="100" w:beforeAutospacing="1" w:after="100" w:afterAutospacing="1"/>
      <w:widowControl/>
    </w:pPr>
    <w:rPr>
      <w:rFonts w:ascii="宋体" w:hAnsi="宋体" w:eastAsia="宋体" w:cs="宋体"/>
      <w:sz w:val="18"/>
      <w:szCs w:val="18"/>
    </w:rPr>
  </w:style>
  <w:style w:type="paragraph" w:styleId="1289">
    <w:name w:val="Char"/>
    <w:basedOn w:val="922"/>
    <w:next w:val="1289"/>
    <w:link w:val="922"/>
    <w:pPr>
      <w:ind w:left="495" w:hanging="495"/>
      <w:tabs>
        <w:tab w:val="left" w:pos="495" w:leader="none"/>
      </w:tabs>
    </w:pPr>
    <w:rPr>
      <w:rFonts w:ascii="Times New Roman" w:hAnsi="Times New Roman" w:eastAsia="宋体" w:cs="Times New Roman"/>
    </w:rPr>
  </w:style>
  <w:style w:type="paragraph" w:styleId="1290">
    <w:name w:val="style25 style2 style26"/>
    <w:basedOn w:val="922"/>
    <w:next w:val="1290"/>
    <w:link w:val="922"/>
    <w:pPr>
      <w:jc w:val="left"/>
      <w:spacing w:before="100" w:beforeAutospacing="1" w:after="100" w:afterAutospacing="1"/>
      <w:widowControl/>
    </w:pPr>
    <w:rPr>
      <w:rFonts w:ascii="Arial Unicode MS" w:hAnsi="Arial Unicode MS" w:eastAsia="宋体" w:cs="Times New Roman"/>
      <w:sz w:val="24"/>
    </w:rPr>
  </w:style>
  <w:style w:type="paragraph" w:styleId="1291">
    <w:name w:val="样式 标题 4H4h4PIM 4第三层条bulletblbbheading 4 + Indent: Left 0..."/>
    <w:basedOn w:val="926"/>
    <w:next w:val="1148"/>
    <w:link w:val="922"/>
    <w:pPr>
      <w:ind w:left="360"/>
      <w:keepLines w:val="0"/>
      <w:keepNext w:val="0"/>
      <w:spacing w:before="468" w:after="312" w:line="360" w:lineRule="auto"/>
      <w:tabs>
        <w:tab w:val="left" w:pos="1800" w:leader="none"/>
      </w:tabs>
    </w:pPr>
    <w:rPr>
      <w:rFonts w:ascii="黑体" w:hAnsi="Times New Roman" w:eastAsia="黑体" w:cs="宋体"/>
      <w:szCs w:val="20"/>
    </w:rPr>
  </w:style>
  <w:style w:type="paragraph" w:styleId="1292">
    <w:name w:val="+标题4"/>
    <w:basedOn w:val="926"/>
    <w:next w:val="1292"/>
    <w:link w:val="922"/>
    <w:pPr>
      <w:spacing w:before="0" w:after="0" w:line="360" w:lineRule="auto"/>
      <w:tabs>
        <w:tab w:val="left" w:pos="0" w:leader="none"/>
      </w:tabs>
    </w:pPr>
    <w:rPr>
      <w:rFonts w:ascii="Times New Roman" w:hAnsi="Times New Roman" w:eastAsia="宋体" w:cs="Times New Roman"/>
      <w:sz w:val="24"/>
    </w:rPr>
  </w:style>
  <w:style w:type="paragraph" w:styleId="1293">
    <w:name w:val="xl44"/>
    <w:basedOn w:val="922"/>
    <w:next w:val="1293"/>
    <w:link w:val="922"/>
    <w:pPr>
      <w:jc w:val="left"/>
      <w:spacing w:before="100" w:beforeAutospacing="1" w:after="100" w:afterAutospacing="1"/>
      <w:widowControl/>
    </w:pPr>
    <w:rPr>
      <w:rFonts w:ascii="Times New Roman" w:hAnsi="Times New Roman" w:eastAsia="宋体" w:cs="Times New Roman"/>
      <w:sz w:val="24"/>
    </w:rPr>
  </w:style>
  <w:style w:type="paragraph" w:styleId="1294">
    <w:name w:val="xl67"/>
    <w:basedOn w:val="922"/>
    <w:next w:val="129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95">
    <w:name w:val="列出段落11"/>
    <w:basedOn w:val="922"/>
    <w:next w:val="1295"/>
    <w:link w:val="922"/>
    <w:pPr>
      <w:ind w:firstLine="420"/>
    </w:pPr>
    <w:rPr>
      <w:rFonts w:ascii="Calibri" w:hAnsi="Calibri" w:eastAsia="宋体" w:cs="Times New Roman"/>
      <w:szCs w:val="22"/>
    </w:rPr>
  </w:style>
  <w:style w:type="paragraph" w:styleId="1296">
    <w:name w:val="+标题1"/>
    <w:basedOn w:val="923"/>
    <w:next w:val="1296"/>
    <w:link w:val="922"/>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97">
    <w:name w:val="P3"/>
    <w:next w:val="1297"/>
    <w:link w:val="922"/>
    <w:pPr>
      <w:ind w:left="2880" w:hanging="576"/>
      <w:jc w:val="both"/>
      <w:spacing w:after="240" w:line="0" w:lineRule="atLeast"/>
      <w:widowControl w:val="off"/>
    </w:pPr>
    <w:rPr>
      <w:rFonts w:eastAsia="全真中明體"/>
      <w:spacing w:val="30"/>
      <w:sz w:val="24"/>
      <w:lang w:val="en-GB" w:eastAsia="zh-TW" w:bidi="ar-SA"/>
    </w:rPr>
  </w:style>
  <w:style w:type="paragraph" w:styleId="1298">
    <w:name w:val="_Style 50"/>
    <w:basedOn w:val="922"/>
    <w:next w:val="964"/>
    <w:link w:val="922"/>
    <w:pPr>
      <w:spacing w:line="360" w:lineRule="auto"/>
    </w:pPr>
    <w:rPr>
      <w:rFonts w:ascii="宋体" w:hAnsi="Courier New" w:eastAsia="宋体" w:cs="Times New Roman"/>
      <w:szCs w:val="20"/>
    </w:rPr>
  </w:style>
  <w:style w:type="paragraph" w:styleId="1299">
    <w:name w:val="样式 目录 4 +"/>
    <w:basedOn w:val="979"/>
    <w:next w:val="1299"/>
    <w:link w:val="922"/>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300">
    <w:name w:val="Char Char Char Char"/>
    <w:basedOn w:val="922"/>
    <w:next w:val="1300"/>
    <w:link w:val="922"/>
    <w:rPr>
      <w:rFonts w:ascii="Times New Roman" w:hAnsi="Times New Roman" w:eastAsia="宋体" w:cs="Times New Roman"/>
    </w:rPr>
  </w:style>
  <w:style w:type="paragraph" w:styleId="1301">
    <w:name w:val="样式 标题 5 + 加粗 左侧:  0 厘米 悬挂缩进: 10.08 字符 行距: 1.5 倍行距"/>
    <w:basedOn w:val="927"/>
    <w:next w:val="1301"/>
    <w:link w:val="922"/>
    <w:pPr>
      <w:ind w:left="1008" w:hanging="1008"/>
      <w:spacing w:before="120" w:after="120" w:line="360" w:lineRule="auto"/>
    </w:pPr>
    <w:rPr>
      <w:rFonts w:ascii="Arial" w:hAnsi="Arial" w:eastAsia="黑体" w:cs="Times New Roman"/>
      <w:b w:val="0"/>
      <w:bCs w:val="0"/>
      <w:sz w:val="24"/>
      <w:szCs w:val="20"/>
    </w:rPr>
  </w:style>
  <w:style w:type="paragraph" w:styleId="1302">
    <w:name w:val="摘要"/>
    <w:basedOn w:val="922"/>
    <w:next w:val="924"/>
    <w:link w:val="922"/>
    <w:pPr>
      <w:spacing w:line="360" w:lineRule="auto"/>
    </w:pPr>
    <w:rPr>
      <w:rFonts w:ascii="Times New Roman" w:hAnsi="Times New Roman" w:eastAsia="黑体" w:cs="Times New Roman"/>
      <w:sz w:val="24"/>
      <w:szCs w:val="20"/>
    </w:rPr>
  </w:style>
  <w:style w:type="paragraph" w:styleId="1303">
    <w:name w:val="Table Text"/>
    <w:basedOn w:val="922"/>
    <w:next w:val="1303"/>
    <w:link w:val="922"/>
    <w:semiHidden/>
    <w:qFormat/>
    <w:rPr>
      <w:rFonts w:ascii="微软雅黑" w:hAnsi="微软雅黑" w:eastAsia="微软雅黑" w:cs="微软雅黑"/>
      <w:sz w:val="20"/>
      <w:szCs w:val="20"/>
    </w:rPr>
  </w:style>
  <w:style w:type="paragraph" w:styleId="1304">
    <w:name w:val="xl73"/>
    <w:basedOn w:val="922"/>
    <w:next w:val="130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05">
    <w:name w:val="标题 11"/>
    <w:basedOn w:val="922"/>
    <w:next w:val="1305"/>
    <w:link w:val="922"/>
    <w:qFormat/>
    <w:pPr>
      <w:keepLines/>
      <w:keepNext/>
      <w:spacing w:before="340" w:after="330" w:line="576" w:lineRule="auto"/>
      <w:outlineLvl w:val="0"/>
    </w:pPr>
    <w:rPr>
      <w:rFonts w:ascii="Times New Roman" w:hAnsi="Times New Roman" w:eastAsia="楷体_GB2312"/>
      <w:b/>
      <w:sz w:val="44"/>
      <w:szCs w:val="20"/>
    </w:rPr>
  </w:style>
  <w:style w:type="paragraph" w:styleId="1306">
    <w:name w:val="次小点说明"/>
    <w:basedOn w:val="922"/>
    <w:next w:val="1306"/>
    <w:link w:val="922"/>
    <w:pPr>
      <w:ind w:left="625" w:hanging="425"/>
      <w:spacing w:line="360" w:lineRule="auto"/>
      <w:tabs>
        <w:tab w:val="left" w:pos="425" w:leader="none"/>
      </w:tabs>
    </w:pPr>
    <w:rPr>
      <w:rFonts w:ascii="Times New Roman" w:hAnsi="Times New Roman" w:eastAsia="宋体" w:cs="Times New Roman"/>
    </w:rPr>
  </w:style>
  <w:style w:type="paragraph" w:styleId="1307">
    <w:name w:val="华宇段落1 Char"/>
    <w:basedOn w:val="922"/>
    <w:next w:val="1307"/>
    <w:link w:val="922"/>
    <w:pPr>
      <w:ind w:firstLine="200"/>
      <w:spacing w:line="360" w:lineRule="auto"/>
    </w:pPr>
    <w:rPr>
      <w:rFonts w:ascii="Times New Roman" w:hAnsi="Times New Roman" w:eastAsia="宋体" w:cs="Times New Roman"/>
      <w:sz w:val="24"/>
      <w:szCs w:val="20"/>
    </w:rPr>
  </w:style>
  <w:style w:type="paragraph" w:styleId="1308">
    <w:name w:val="Alt+X_首行空2"/>
    <w:basedOn w:val="922"/>
    <w:next w:val="1308"/>
    <w:link w:val="922"/>
    <w:pPr>
      <w:ind w:firstLine="480"/>
      <w:spacing w:line="360" w:lineRule="auto"/>
    </w:pPr>
    <w:rPr>
      <w:rFonts w:ascii="Times New Roman" w:hAnsi="Times New Roman" w:eastAsia="宋体" w:cs="宋体"/>
      <w:sz w:val="24"/>
    </w:rPr>
  </w:style>
  <w:style w:type="paragraph" w:styleId="1309">
    <w:name w:val="xl35"/>
    <w:basedOn w:val="922"/>
    <w:next w:val="1309"/>
    <w:link w:val="92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310">
    <w:name w:val="Plain Text2"/>
    <w:basedOn w:val="922"/>
    <w:next w:val="1310"/>
    <w:link w:val="922"/>
    <w:rPr>
      <w:rFonts w:ascii="宋体" w:hAnsi="Courier New" w:eastAsia="楷体_GB2312" w:cs="Times New Roman"/>
      <w:sz w:val="28"/>
      <w:szCs w:val="20"/>
    </w:rPr>
  </w:style>
  <w:style w:type="paragraph" w:styleId="1311">
    <w:name w:val="+列表2"/>
    <w:basedOn w:val="922"/>
    <w:next w:val="1311"/>
    <w:link w:val="922"/>
    <w:pPr>
      <w:jc w:val="center"/>
    </w:pPr>
    <w:rPr>
      <w:rFonts w:ascii="Calibri" w:hAnsi="Calibri" w:eastAsia="宋体" w:cs="Times New Roman"/>
      <w:sz w:val="18"/>
      <w:szCs w:val="21"/>
    </w:rPr>
  </w:style>
  <w:style w:type="paragraph" w:styleId="1312">
    <w:name w:val="+标题3"/>
    <w:basedOn w:val="925"/>
    <w:next w:val="1312"/>
    <w:link w:val="922"/>
    <w:pPr>
      <w:spacing w:before="0" w:after="0" w:line="360" w:lineRule="auto"/>
    </w:pPr>
    <w:rPr>
      <w:rFonts w:ascii="Calibri" w:hAnsi="宋体" w:eastAsia="宋体" w:cs="Times New Roman"/>
      <w:b w:val="0"/>
      <w:bCs w:val="0"/>
      <w:sz w:val="28"/>
      <w:szCs w:val="28"/>
    </w:rPr>
  </w:style>
  <w:style w:type="paragraph" w:styleId="1313">
    <w:name w:val="样式6"/>
    <w:basedOn w:val="925"/>
    <w:next w:val="1313"/>
    <w:link w:val="922"/>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14">
    <w:name w:val="表格"/>
    <w:basedOn w:val="922"/>
    <w:next w:val="1314"/>
    <w:link w:val="922"/>
    <w:rPr>
      <w:rFonts w:ascii="Arial" w:hAnsi="Arial" w:eastAsia="宋体" w:cs="Times New Roman"/>
      <w:sz w:val="24"/>
      <w:szCs w:val="20"/>
    </w:rPr>
  </w:style>
  <w:style w:type="paragraph" w:styleId="1315">
    <w:name w:val="TOC 标题"/>
    <w:basedOn w:val="923"/>
    <w:next w:val="922"/>
    <w:link w:val="922"/>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316">
    <w:name w:val="样式 标题 2H2sect 1.2H21sect 1.21H22sect 1.22H211sect 1.211..."/>
    <w:basedOn w:val="924"/>
    <w:next w:val="922"/>
    <w:link w:val="922"/>
    <w:pPr>
      <w:spacing w:line="415" w:lineRule="auto"/>
      <w:tabs>
        <w:tab w:val="left" w:pos="1800" w:leader="none"/>
      </w:tabs>
    </w:pPr>
    <w:rPr>
      <w:rFonts w:ascii="宋体" w:hAnsi="宋体" w:eastAsia="宋体" w:cs="Times New Roman"/>
    </w:rPr>
  </w:style>
  <w:style w:type="paragraph" w:styleId="1317">
    <w:name w:val="缩进正文"/>
    <w:basedOn w:val="922"/>
    <w:next w:val="1317"/>
    <w:link w:val="922"/>
    <w:pPr>
      <w:jc w:val="left"/>
      <w:spacing w:line="360" w:lineRule="auto"/>
      <w:widowControl/>
    </w:pPr>
    <w:rPr>
      <w:rFonts w:ascii="宋体" w:hAnsi="Times New Roman" w:eastAsia="宋体" w:cs="Times New Roman"/>
      <w:sz w:val="24"/>
      <w:szCs w:val="20"/>
      <w:lang w:val="en-US" w:eastAsia="zh-CN"/>
    </w:rPr>
  </w:style>
  <w:style w:type="paragraph" w:styleId="1318">
    <w:name w:val="xl66"/>
    <w:basedOn w:val="922"/>
    <w:next w:val="1318"/>
    <w:link w:val="92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19">
    <w:name w:val="xl68"/>
    <w:basedOn w:val="922"/>
    <w:next w:val="1319"/>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20">
    <w:name w:val="样式 仿宋_GB2312 小三"/>
    <w:basedOn w:val="922"/>
    <w:next w:val="1320"/>
    <w:link w:val="922"/>
    <w:pPr>
      <w:ind w:firstLine="600"/>
    </w:pPr>
    <w:rPr>
      <w:rFonts w:ascii="仿宋_GB2312" w:hAnsi="Times New Roman" w:eastAsia="仿宋_GB2312" w:cs="Times New Roman"/>
      <w:sz w:val="24"/>
      <w:szCs w:val="20"/>
    </w:rPr>
  </w:style>
  <w:style w:type="paragraph" w:styleId="1321">
    <w:name w:val="word2"/>
    <w:basedOn w:val="922"/>
    <w:next w:val="1321"/>
    <w:link w:val="922"/>
    <w:pPr>
      <w:jc w:val="left"/>
      <w:spacing w:before="100" w:beforeAutospacing="1" w:after="100" w:afterAutospacing="1" w:line="348" w:lineRule="atLeast"/>
      <w:widowControl/>
    </w:pPr>
    <w:rPr>
      <w:rFonts w:ascii="宋体" w:hAnsi="宋体" w:eastAsia="宋体" w:cs="Times New Roman"/>
      <w:szCs w:val="20"/>
    </w:rPr>
  </w:style>
  <w:style w:type="paragraph" w:styleId="1322">
    <w:name w:val="标准"/>
    <w:basedOn w:val="922"/>
    <w:next w:val="1322"/>
    <w:link w:val="922"/>
    <w:pPr>
      <w:spacing w:line="300" w:lineRule="exact"/>
    </w:pPr>
    <w:rPr>
      <w:rFonts w:ascii="Footlight MT Light" w:hAnsi="Footlight MT Light" w:eastAsia="宋体" w:cs="Times New Roman"/>
      <w:b/>
      <w:sz w:val="28"/>
      <w:szCs w:val="20"/>
    </w:rPr>
  </w:style>
  <w:style w:type="paragraph" w:styleId="1323">
    <w:name w:val="xl33"/>
    <w:basedOn w:val="922"/>
    <w:next w:val="1323"/>
    <w:link w:val="922"/>
    <w:pPr>
      <w:jc w:val="center"/>
      <w:spacing w:before="100" w:beforeAutospacing="1" w:after="100" w:afterAutospacing="1"/>
      <w:widowControl/>
    </w:pPr>
    <w:rPr>
      <w:rFonts w:ascii="Times New Roman" w:hAnsi="Times New Roman" w:eastAsia="宋体" w:cs="Times New Roman"/>
      <w:sz w:val="24"/>
    </w:rPr>
  </w:style>
  <w:style w:type="paragraph" w:styleId="1324">
    <w:name w:val="xl38"/>
    <w:basedOn w:val="922"/>
    <w:next w:val="1324"/>
    <w:link w:val="922"/>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25">
    <w:name w:val="xl72"/>
    <w:basedOn w:val="922"/>
    <w:next w:val="1325"/>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26">
    <w:name w:val="+正文 Char Char5 Char"/>
    <w:basedOn w:val="922"/>
    <w:next w:val="1326"/>
    <w:link w:val="922"/>
    <w:pPr>
      <w:ind w:firstLine="200"/>
      <w:spacing w:line="360" w:lineRule="auto"/>
    </w:pPr>
    <w:rPr>
      <w:rFonts w:ascii="Calibri" w:hAnsi="Calibri" w:eastAsia="宋体" w:cs="Times New Roman"/>
      <w:sz w:val="24"/>
      <w:szCs w:val="20"/>
    </w:rPr>
  </w:style>
  <w:style w:type="paragraph" w:styleId="1327">
    <w:name w:val="打对勾的标号1"/>
    <w:basedOn w:val="922"/>
    <w:next w:val="1327"/>
    <w:link w:val="922"/>
    <w:qFormat/>
    <w:pPr>
      <w:tabs>
        <w:tab w:val="left" w:pos="540" w:leader="none"/>
      </w:tabs>
    </w:pPr>
    <w:rPr>
      <w:rFonts w:ascii="宋体" w:hAnsi="Calibri" w:eastAsia="宋体" w:cs="Times New Roman"/>
      <w:color w:val="000000"/>
      <w:sz w:val="28"/>
      <w:szCs w:val="20"/>
      <w:lang w:val="en-GB"/>
    </w:rPr>
  </w:style>
  <w:style w:type="paragraph" w:styleId="1328">
    <w:name w:val="xl52"/>
    <w:basedOn w:val="922"/>
    <w:next w:val="1328"/>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29">
    <w:name w:val="_Style 14"/>
    <w:basedOn w:val="922"/>
    <w:next w:val="1329"/>
    <w:link w:val="922"/>
    <w:rPr>
      <w:rFonts w:ascii="Times New Roman" w:hAnsi="Times New Roman" w:eastAsia="宋体" w:cs="Times New Roman"/>
      <w:szCs w:val="20"/>
    </w:rPr>
  </w:style>
  <w:style w:type="paragraph" w:styleId="1330">
    <w:name w:val="font9"/>
    <w:basedOn w:val="922"/>
    <w:next w:val="1330"/>
    <w:link w:val="922"/>
    <w:pPr>
      <w:jc w:val="left"/>
      <w:spacing w:before="100" w:beforeAutospacing="1" w:after="100" w:afterAutospacing="1"/>
      <w:widowControl/>
    </w:pPr>
    <w:rPr>
      <w:rFonts w:ascii="宋体" w:hAnsi="宋体" w:eastAsia="宋体" w:cs="宋体"/>
      <w:color w:val="000000"/>
      <w:sz w:val="18"/>
      <w:szCs w:val="18"/>
    </w:rPr>
  </w:style>
  <w:style w:type="paragraph" w:styleId="1331">
    <w:name w:val="style1style2"/>
    <w:basedOn w:val="922"/>
    <w:next w:val="1331"/>
    <w:link w:val="922"/>
    <w:pPr>
      <w:jc w:val="left"/>
      <w:spacing w:before="100" w:beforeAutospacing="1" w:after="100" w:afterAutospacing="1"/>
      <w:widowControl/>
    </w:pPr>
    <w:rPr>
      <w:rFonts w:ascii="宋体" w:hAnsi="宋体" w:eastAsia="宋体" w:cs="宋体"/>
      <w:sz w:val="24"/>
    </w:rPr>
  </w:style>
  <w:style w:type="paragraph" w:styleId="1332">
    <w:name w:val="_Style 104"/>
    <w:basedOn w:val="922"/>
    <w:next w:val="1332"/>
    <w:link w:val="922"/>
    <w:pPr>
      <w:spacing w:after="160" w:line="240" w:lineRule="exact"/>
    </w:pPr>
    <w:rPr>
      <w:rFonts w:ascii="Times New Roman" w:hAnsi="Times New Roman" w:eastAsia="宋体" w:cs="Times New Roman"/>
      <w:szCs w:val="20"/>
    </w:rPr>
  </w:style>
  <w:style w:type="paragraph" w:styleId="1333">
    <w:name w:val="xl34"/>
    <w:basedOn w:val="922"/>
    <w:next w:val="1333"/>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34">
    <w:name w:val="font7"/>
    <w:basedOn w:val="922"/>
    <w:next w:val="1334"/>
    <w:link w:val="922"/>
    <w:pPr>
      <w:jc w:val="left"/>
      <w:spacing w:before="100" w:beforeAutospacing="1" w:after="100" w:afterAutospacing="1"/>
      <w:widowControl/>
    </w:pPr>
    <w:rPr>
      <w:rFonts w:ascii="Times New Roman" w:hAnsi="Times New Roman" w:eastAsia="宋体" w:cs="Times New Roman"/>
      <w:sz w:val="24"/>
    </w:rPr>
  </w:style>
  <w:style w:type="paragraph" w:styleId="1335">
    <w:name w:val="xl51"/>
    <w:basedOn w:val="922"/>
    <w:next w:val="1335"/>
    <w:link w:val="922"/>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36">
    <w:name w:val="页眉文档编号"/>
    <w:next w:val="1336"/>
    <w:link w:val="922"/>
    <w:pPr>
      <w:jc w:val="center"/>
    </w:pPr>
    <w:rPr>
      <w:sz w:val="21"/>
      <w:lang w:val="en-US" w:eastAsia="zh-CN" w:bidi="ar-SA"/>
    </w:rPr>
  </w:style>
  <w:style w:type="paragraph" w:styleId="1337">
    <w:name w:val="样式 标题 2H2 + 宋体 小三"/>
    <w:basedOn w:val="924"/>
    <w:next w:val="1337"/>
    <w:link w:val="922"/>
    <w:pPr>
      <w:jc w:val="center"/>
      <w:spacing w:before="156" w:after="20" w:line="360" w:lineRule="auto"/>
    </w:pPr>
    <w:rPr>
      <w:rFonts w:ascii="宋体" w:hAnsi="宋体" w:eastAsia="幼圆" w:cs="Times New Roman"/>
      <w:bCs w:val="0"/>
      <w:sz w:val="52"/>
      <w:szCs w:val="20"/>
    </w:rPr>
  </w:style>
  <w:style w:type="paragraph" w:styleId="1338">
    <w:name w:val="6"/>
    <w:basedOn w:val="922"/>
    <w:next w:val="957"/>
    <w:link w:val="922"/>
    <w:pPr>
      <w:spacing w:after="120"/>
    </w:pPr>
    <w:rPr>
      <w:rFonts w:ascii="Times New Roman" w:hAnsi="Times New Roman" w:eastAsia="宋体" w:cs="Times New Roman"/>
    </w:rPr>
  </w:style>
  <w:style w:type="paragraph" w:styleId="1339">
    <w:name w:val="正文(标书)"/>
    <w:basedOn w:val="941"/>
    <w:next w:val="1339"/>
    <w:link w:val="922"/>
    <w:pPr>
      <w:ind w:firstLine="510"/>
      <w:spacing w:before="40" w:line="360" w:lineRule="auto"/>
    </w:pPr>
    <w:rPr>
      <w:rFonts w:ascii="宋体" w:hAnsi="Times New Roman" w:eastAsia="宋体" w:cs="Times New Roman"/>
    </w:rPr>
  </w:style>
  <w:style w:type="paragraph" w:styleId="1340">
    <w:name w:val="Char2"/>
    <w:basedOn w:val="922"/>
    <w:next w:val="1340"/>
    <w:link w:val="922"/>
    <w:rPr>
      <w:rFonts w:ascii="Tahoma" w:hAnsi="Tahoma" w:eastAsia="宋体" w:cs="Times New Roman"/>
      <w:sz w:val="24"/>
      <w:szCs w:val="20"/>
    </w:rPr>
  </w:style>
  <w:style w:type="paragraph" w:styleId="1341">
    <w:name w:val="项目编号A"/>
    <w:basedOn w:val="922"/>
    <w:next w:val="1341"/>
    <w:link w:val="922"/>
    <w:pPr>
      <w:ind w:left="959" w:hanging="420"/>
      <w:spacing w:line="360" w:lineRule="auto"/>
      <w:tabs>
        <w:tab w:val="left" w:pos="959" w:leader="none"/>
      </w:tabs>
    </w:pPr>
    <w:rPr>
      <w:rFonts w:ascii="Arial" w:hAnsi="Arial" w:eastAsia="宋体" w:cs="Times New Roman"/>
      <w:sz w:val="24"/>
      <w:szCs w:val="20"/>
    </w:rPr>
  </w:style>
  <w:style w:type="paragraph" w:styleId="1342">
    <w:name w:val="Char Char1 Char Char Char Char Char Char Char Char Char Char Char Char Char Char Char"/>
    <w:basedOn w:val="922"/>
    <w:next w:val="1342"/>
    <w:link w:val="922"/>
    <w:pPr>
      <w:jc w:val="left"/>
      <w:spacing w:after="160" w:line="240" w:lineRule="exact"/>
      <w:widowControl/>
    </w:pPr>
    <w:rPr>
      <w:rFonts w:ascii="Verdana" w:hAnsi="Verdana" w:eastAsia="宋体" w:cs="Times New Roman"/>
      <w:sz w:val="20"/>
      <w:szCs w:val="20"/>
      <w:lang w:eastAsia="en-US"/>
    </w:rPr>
  </w:style>
  <w:style w:type="paragraph" w:styleId="1343">
    <w:name w:val="+正文 Char Char5"/>
    <w:basedOn w:val="922"/>
    <w:next w:val="1343"/>
    <w:link w:val="922"/>
    <w:pPr>
      <w:ind w:firstLine="200"/>
    </w:pPr>
    <w:rPr>
      <w:rFonts w:ascii="Calibri" w:hAnsi="Calibri" w:eastAsia="宋体" w:cs="Times New Roman"/>
      <w:sz w:val="24"/>
    </w:rPr>
  </w:style>
  <w:style w:type="paragraph" w:styleId="1344">
    <w:name w:val="样式 样式 样式 标题 3sect1.2.3h3H3l3CTl3+toc 3heading 3Sub-section Tit....."/>
    <w:basedOn w:val="1345"/>
    <w:next w:val="1344"/>
    <w:link w:val="922"/>
    <w:pPr>
      <w:spacing w:before="468" w:after="312"/>
      <w:tabs>
        <w:tab w:val="left" w:pos="1800" w:leader="none"/>
      </w:tabs>
    </w:pPr>
    <w:rPr>
      <w:rFonts w:ascii="Times New Roman" w:hAnsi="Times New Roman" w:eastAsia="宋体" w:cs="Times New Roman"/>
    </w:rPr>
  </w:style>
  <w:style w:type="paragraph" w:styleId="1345">
    <w:name w:val="样式 样式 标题 3sect1.2.3h3H3l3CTl3+toc 3heading 3Sub-section Tit... +..."/>
    <w:basedOn w:val="922"/>
    <w:next w:val="1345"/>
    <w:link w:val="922"/>
    <w:pPr>
      <w:spacing w:before="468" w:after="312" w:line="412" w:lineRule="auto"/>
      <w:tabs>
        <w:tab w:val="left" w:pos="1800" w:leader="none"/>
      </w:tabs>
      <w:outlineLvl w:val="2"/>
    </w:pPr>
    <w:rPr>
      <w:rFonts w:ascii="Times New Roman" w:hAnsi="Times New Roman" w:eastAsia="黑体" w:cs="宋体"/>
      <w:b/>
      <w:bCs/>
      <w:sz w:val="30"/>
      <w:szCs w:val="20"/>
    </w:rPr>
  </w:style>
  <w:style w:type="paragraph" w:styleId="1346">
    <w:name w:val="接續本文"/>
    <w:basedOn w:val="957"/>
    <w:next w:val="1346"/>
    <w:link w:val="922"/>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47">
    <w:name w:val="xl79"/>
    <w:basedOn w:val="922"/>
    <w:next w:val="1347"/>
    <w:link w:val="92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48">
    <w:name w:val="a0"/>
    <w:basedOn w:val="922"/>
    <w:next w:val="1348"/>
    <w:link w:val="922"/>
    <w:pPr>
      <w:jc w:val="left"/>
      <w:spacing w:before="100" w:beforeAutospacing="1" w:after="100" w:afterAutospacing="1"/>
      <w:widowControl/>
    </w:pPr>
    <w:rPr>
      <w:rFonts w:ascii="宋体" w:hAnsi="宋体" w:eastAsia="宋体" w:cs="宋体"/>
      <w:sz w:val="24"/>
    </w:rPr>
  </w:style>
  <w:style w:type="paragraph" w:styleId="1349">
    <w:name w:val="xl55"/>
    <w:basedOn w:val="922"/>
    <w:next w:val="1349"/>
    <w:link w:val="92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350">
    <w:name w:val="样式 仿宋_GB2312 四号 黑色 行距: 1.5 倍行距1"/>
    <w:basedOn w:val="922"/>
    <w:next w:val="1350"/>
    <w:link w:val="922"/>
    <w:pPr>
      <w:spacing w:line="360" w:lineRule="auto"/>
    </w:pPr>
    <w:rPr>
      <w:rFonts w:ascii="仿宋_GB2312" w:hAnsi="宋体" w:eastAsia="仿宋_GB2312" w:cs="Times New Roman"/>
      <w:color w:val="000000"/>
      <w:sz w:val="24"/>
      <w:szCs w:val="20"/>
    </w:rPr>
  </w:style>
  <w:style w:type="paragraph" w:styleId="1351">
    <w:name w:val="列项——（一级）"/>
    <w:next w:val="1351"/>
    <w:link w:val="922"/>
    <w:pPr>
      <w:ind w:left="420" w:hanging="420"/>
      <w:jc w:val="both"/>
      <w:widowControl w:val="off"/>
      <w:tabs>
        <w:tab w:val="left" w:pos="420" w:leader="none"/>
        <w:tab w:val="left" w:pos="900" w:leader="none"/>
      </w:tabs>
    </w:pPr>
    <w:rPr>
      <w:rFonts w:ascii="宋体"/>
      <w:sz w:val="21"/>
      <w:lang w:val="en-US" w:eastAsia="zh-CN" w:bidi="ar-SA"/>
    </w:rPr>
  </w:style>
  <w:style w:type="paragraph" w:styleId="1352">
    <w:name w:val="图表"/>
    <w:basedOn w:val="922"/>
    <w:next w:val="1353"/>
    <w:link w:val="922"/>
    <w:pPr>
      <w:ind w:left="-420" w:right="-1349"/>
      <w:jc w:val="center"/>
      <w:spacing w:before="120" w:line="240" w:lineRule="atLeast"/>
    </w:pPr>
    <w:rPr>
      <w:rFonts w:ascii="宋体" w:hAnsi="Arial" w:eastAsia="宋体" w:cs="Times New Roman"/>
      <w:sz w:val="28"/>
      <w:szCs w:val="20"/>
      <w:lang w:val="en-US" w:eastAsia="zh-CN"/>
    </w:rPr>
  </w:style>
  <w:style w:type="paragraph" w:styleId="1353">
    <w:name w:val="图表说明"/>
    <w:basedOn w:val="922"/>
    <w:next w:val="922"/>
    <w:link w:val="922"/>
    <w:pPr>
      <w:ind w:left="-420" w:right="-1349"/>
      <w:jc w:val="center"/>
      <w:spacing w:after="120" w:line="240" w:lineRule="atLeast"/>
    </w:pPr>
    <w:rPr>
      <w:rFonts w:ascii="Arial" w:hAnsi="Arial" w:eastAsia="楷体_GB2312" w:cs="Times New Roman"/>
      <w:sz w:val="24"/>
      <w:szCs w:val="20"/>
    </w:rPr>
  </w:style>
  <w:style w:type="paragraph" w:styleId="1354">
    <w:name w:val="+正文 Char6"/>
    <w:basedOn w:val="922"/>
    <w:next w:val="1354"/>
    <w:link w:val="922"/>
    <w:pPr>
      <w:ind w:firstLine="200"/>
      <w:spacing w:line="360" w:lineRule="auto"/>
    </w:pPr>
    <w:rPr>
      <w:rFonts w:ascii="Calibri" w:hAnsi="Calibri" w:eastAsia="宋体" w:cs="Times New Roman"/>
      <w:sz w:val="24"/>
    </w:rPr>
  </w:style>
  <w:style w:type="paragraph" w:styleId="1355">
    <w:name w:val="tytytyty"/>
    <w:basedOn w:val="922"/>
    <w:next w:val="1355"/>
    <w:link w:val="922"/>
    <w:pPr>
      <w:ind w:left="359" w:firstLine="480"/>
      <w:spacing w:line="360" w:lineRule="auto"/>
    </w:pPr>
    <w:rPr>
      <w:rFonts w:ascii="Times New Roman" w:hAnsi="Times New Roman" w:eastAsia="宋体" w:cs="Times New Roman"/>
      <w:sz w:val="24"/>
      <w:lang w:eastAsia="ar-SA"/>
    </w:rPr>
  </w:style>
  <w:style w:type="paragraph" w:styleId="1356">
    <w:name w:val="xl53"/>
    <w:basedOn w:val="922"/>
    <w:next w:val="1356"/>
    <w:link w:val="92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357">
    <w:name w:val="xl26"/>
    <w:basedOn w:val="922"/>
    <w:next w:val="1357"/>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58">
    <w:name w:val="样式 样式 标题 4H4Ref Heading 1rh1Heading sqlsect 1.2.3.4h4PIM 4b... +..."/>
    <w:basedOn w:val="922"/>
    <w:next w:val="1358"/>
    <w:link w:val="922"/>
    <w:pPr>
      <w:keepNext/>
      <w:spacing w:before="360" w:after="240" w:line="300" w:lineRule="auto"/>
      <w:tabs>
        <w:tab w:val="left" w:pos="3085" w:leader="none"/>
      </w:tabs>
      <w:outlineLvl w:val="3"/>
    </w:pPr>
    <w:rPr>
      <w:rFonts w:ascii="宋体" w:hAnsi="宋体" w:eastAsia="宋体" w:cs="Times New Roman"/>
      <w:b/>
      <w:szCs w:val="20"/>
    </w:rPr>
  </w:style>
  <w:style w:type="paragraph" w:styleId="1359">
    <w:name w:val="样式 标题 4"/>
    <w:basedOn w:val="926"/>
    <w:next w:val="1359"/>
    <w:link w:val="922"/>
    <w:pPr>
      <w:spacing w:before="0" w:after="0" w:line="374" w:lineRule="auto"/>
    </w:pPr>
    <w:rPr>
      <w:rFonts w:ascii="宋体" w:hAnsi="宋体" w:eastAsia="宋体" w:cs="Times New Roman"/>
      <w:sz w:val="30"/>
      <w:szCs w:val="20"/>
    </w:rPr>
  </w:style>
  <w:style w:type="paragraph" w:styleId="1360">
    <w:name w:val="xl31"/>
    <w:basedOn w:val="922"/>
    <w:next w:val="1360"/>
    <w:link w:val="92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61">
    <w:name w:val="样式 宋体 四号 行距: 固定值 25 磅1"/>
    <w:basedOn w:val="922"/>
    <w:next w:val="1361"/>
    <w:link w:val="922"/>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362">
    <w:name w:val="Ｃ"/>
    <w:basedOn w:val="922"/>
    <w:next w:val="1362"/>
    <w:link w:val="922"/>
    <w:pPr>
      <w:ind w:right="210"/>
      <w:jc w:val="center"/>
      <w:keepNext/>
      <w:spacing w:line="0" w:lineRule="atLeast"/>
      <w:widowControl/>
    </w:pPr>
    <w:rPr>
      <w:rFonts w:ascii="宋体" w:hAnsi="Times New Roman" w:eastAsia="宋体" w:cs="Times New Roman"/>
      <w:sz w:val="16"/>
      <w:szCs w:val="20"/>
    </w:rPr>
  </w:style>
  <w:style w:type="paragraph" w:styleId="1363">
    <w:name w:val="正文段"/>
    <w:basedOn w:val="922"/>
    <w:next w:val="1363"/>
    <w:link w:val="922"/>
    <w:pPr>
      <w:ind w:firstLine="454"/>
      <w:spacing w:after="240" w:line="360" w:lineRule="atLeast"/>
      <w:widowControl/>
    </w:pPr>
    <w:rPr>
      <w:rFonts w:ascii="宋体" w:hAnsi="Times New Roman" w:eastAsia="宋体" w:cs="Times New Roman"/>
      <w:sz w:val="24"/>
      <w:szCs w:val="20"/>
    </w:rPr>
  </w:style>
  <w:style w:type="paragraph" w:styleId="1364">
    <w:name w:val="样式 纯文本 + 仿宋_GB2312 黑色 行距: 1.5 倍行距1"/>
    <w:basedOn w:val="964"/>
    <w:next w:val="1364"/>
    <w:link w:val="922"/>
    <w:pPr>
      <w:ind w:firstLine="560"/>
      <w:spacing w:line="360" w:lineRule="auto"/>
    </w:pPr>
    <w:rPr>
      <w:rFonts w:ascii="仿宋_GB2312" w:hAnsi="宋体" w:eastAsia="仿宋_GB2312" w:cs="Times New Roman"/>
      <w:color w:val="000000"/>
      <w:sz w:val="24"/>
    </w:rPr>
  </w:style>
  <w:style w:type="paragraph" w:styleId="1365">
    <w:name w:val="大标题"/>
    <w:basedOn w:val="922"/>
    <w:next w:val="1365"/>
    <w:link w:val="922"/>
    <w:pPr>
      <w:jc w:val="center"/>
    </w:pPr>
    <w:rPr>
      <w:rFonts w:ascii="Times New Roman" w:hAnsi="Times New Roman" w:eastAsia="黑体" w:cs="宋体"/>
      <w:sz w:val="44"/>
      <w:szCs w:val="20"/>
    </w:rPr>
  </w:style>
  <w:style w:type="paragraph" w:styleId="1366">
    <w:name w:val="Char Char Char1 Char"/>
    <w:basedOn w:val="922"/>
    <w:next w:val="1366"/>
    <w:link w:val="922"/>
    <w:pPr>
      <w:jc w:val="left"/>
      <w:spacing w:before="93" w:after="93" w:line="240" w:lineRule="exact"/>
      <w:widowControl/>
    </w:pPr>
    <w:rPr>
      <w:rFonts w:ascii="Verdana" w:hAnsi="Verdana" w:eastAsia="宋体" w:cs="Times New Roman"/>
      <w:sz w:val="20"/>
      <w:szCs w:val="20"/>
      <w:lang w:eastAsia="en-US"/>
    </w:rPr>
  </w:style>
  <w:style w:type="paragraph" w:styleId="1367">
    <w:name w:val="FP-Title2"/>
    <w:next w:val="1367"/>
    <w:link w:val="922"/>
    <w:pPr>
      <w:spacing w:before="240" w:after="60"/>
    </w:pPr>
    <w:rPr>
      <w:rFonts w:ascii="Arial" w:hAnsi="Arial"/>
      <w:b/>
      <w:sz w:val="24"/>
      <w:lang w:val="en-GB" w:eastAsia="en-US" w:bidi="ar-SA"/>
    </w:rPr>
  </w:style>
  <w:style w:type="paragraph" w:styleId="1368">
    <w:name w:val="xl74"/>
    <w:basedOn w:val="922"/>
    <w:next w:val="136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69">
    <w:name w:val="Blockquote"/>
    <w:basedOn w:val="922"/>
    <w:next w:val="1369"/>
    <w:link w:val="922"/>
    <w:pPr>
      <w:ind w:left="360" w:right="360"/>
      <w:jc w:val="left"/>
      <w:spacing w:before="100" w:after="100"/>
    </w:pPr>
    <w:rPr>
      <w:rFonts w:ascii="Times New Roman" w:hAnsi="Times New Roman" w:eastAsia="宋体" w:cs="Times New Roman"/>
      <w:sz w:val="24"/>
      <w:szCs w:val="21"/>
    </w:rPr>
  </w:style>
  <w:style w:type="paragraph" w:styleId="1370">
    <w:name w:val="南通方案正文"/>
    <w:basedOn w:val="922"/>
    <w:next w:val="1370"/>
    <w:link w:val="922"/>
    <w:pPr>
      <w:ind w:firstLine="480"/>
      <w:spacing w:line="360" w:lineRule="auto"/>
    </w:pPr>
    <w:rPr>
      <w:rFonts w:ascii="Times New Roman" w:hAnsi="Times New Roman" w:eastAsia="宋体" w:cs="宋体"/>
      <w:sz w:val="24"/>
      <w:szCs w:val="20"/>
    </w:rPr>
  </w:style>
  <w:style w:type="paragraph" w:styleId="1371">
    <w:name w:val="默认段落字体 Para Char Char Char Char Char Char Char Char Char1 Char Char Char Char Char Char Char"/>
    <w:basedOn w:val="950"/>
    <w:next w:val="1371"/>
    <w:link w:val="922"/>
    <w:rPr>
      <w:rFonts w:ascii="Tahoma" w:hAnsi="Tahoma" w:eastAsia="宋体" w:cs="Times New Roman"/>
      <w:sz w:val="24"/>
    </w:rPr>
  </w:style>
  <w:style w:type="paragraph" w:styleId="1372">
    <w:name w:val="notice2"/>
    <w:basedOn w:val="922"/>
    <w:next w:val="1372"/>
    <w:link w:val="922"/>
    <w:pPr>
      <w:jc w:val="left"/>
      <w:spacing w:after="150"/>
      <w:widowControl/>
    </w:pPr>
    <w:rPr>
      <w:rFonts w:ascii="宋体" w:hAnsi="宋体" w:eastAsia="宋体" w:cs="宋体"/>
      <w:color w:val="339900"/>
      <w:sz w:val="24"/>
    </w:rPr>
  </w:style>
  <w:style w:type="paragraph" w:styleId="1373">
    <w:name w:val="SS正文首行缩进 +"/>
    <w:basedOn w:val="999"/>
    <w:next w:val="1373"/>
    <w:link w:val="922"/>
    <w:pPr>
      <w:ind w:firstLine="480"/>
      <w:spacing w:before="156" w:after="156" w:line="360" w:lineRule="auto"/>
    </w:pPr>
    <w:rPr>
      <w:rFonts w:ascii="Times New Roman" w:hAnsi="Times New Roman" w:eastAsia="宋体" w:cs="Times New Roman"/>
      <w:szCs w:val="20"/>
    </w:rPr>
  </w:style>
  <w:style w:type="paragraph" w:styleId="1374">
    <w:name w:val="msonormalcxsplast"/>
    <w:basedOn w:val="922"/>
    <w:next w:val="1374"/>
    <w:link w:val="922"/>
    <w:pPr>
      <w:jc w:val="left"/>
      <w:widowControl/>
    </w:pPr>
    <w:rPr>
      <w:rFonts w:ascii="宋体" w:hAnsi="宋体" w:eastAsia="宋体" w:cs="宋体"/>
      <w:sz w:val="24"/>
    </w:rPr>
  </w:style>
  <w:style w:type="paragraph" w:styleId="1375">
    <w:name w:val="font8"/>
    <w:basedOn w:val="922"/>
    <w:next w:val="1375"/>
    <w:link w:val="922"/>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76">
    <w:name w:val="font5"/>
    <w:basedOn w:val="922"/>
    <w:next w:val="1376"/>
    <w:link w:val="922"/>
    <w:pPr>
      <w:jc w:val="left"/>
      <w:spacing w:before="100" w:beforeAutospacing="1" w:after="100" w:afterAutospacing="1"/>
      <w:widowControl/>
    </w:pPr>
    <w:rPr>
      <w:rFonts w:hint="eastAsia" w:ascii="宋体" w:hAnsi="宋体" w:eastAsia="宋体" w:cs="Times New Roman"/>
      <w:sz w:val="24"/>
    </w:rPr>
  </w:style>
  <w:style w:type="paragraph" w:styleId="1377">
    <w:name w:val="样式 样式 仿宋_GB2312 小三 + 首行缩进:  2 字符"/>
    <w:basedOn w:val="1320"/>
    <w:next w:val="1377"/>
    <w:link w:val="922"/>
    <w:pPr>
      <w:ind w:firstLine="0"/>
      <w:jc w:val="center"/>
      <w:spacing w:line="360" w:lineRule="auto"/>
    </w:pPr>
    <w:rPr>
      <w:rFonts w:ascii="Times New Roman" w:hAnsi="Times New Roman" w:eastAsia="宋体" w:cs="Times New Roman"/>
    </w:rPr>
  </w:style>
  <w:style w:type="paragraph" w:styleId="1378">
    <w:name w:val="简单回函地址"/>
    <w:basedOn w:val="922"/>
    <w:next w:val="1378"/>
    <w:link w:val="922"/>
    <w:rPr>
      <w:rFonts w:ascii="宋体" w:hAnsi="宋体" w:eastAsia="宋体" w:cs="Times New Roman"/>
      <w:color w:val="000000"/>
      <w:szCs w:val="21"/>
    </w:rPr>
  </w:style>
  <w:style w:type="paragraph" w:styleId="1379">
    <w:name w:val="样式 目录 3 + 左侧:  1.71 字符1"/>
    <w:basedOn w:val="963"/>
    <w:next w:val="1379"/>
    <w:link w:val="922"/>
    <w:pPr>
      <w:ind w:left="200" w:firstLine="200"/>
      <w:tabs>
        <w:tab w:val="right" w:pos="8296" w:leader="dot"/>
      </w:tabs>
    </w:pPr>
    <w:rPr>
      <w:rFonts w:ascii="Times New Roman" w:hAnsi="Times New Roman" w:eastAsia="宋体" w:cs="Times New Roman"/>
      <w:szCs w:val="20"/>
    </w:rPr>
  </w:style>
  <w:style w:type="paragraph" w:styleId="1380">
    <w:name w:val="图表题"/>
    <w:basedOn w:val="922"/>
    <w:next w:val="1380"/>
    <w:link w:val="922"/>
    <w:pPr>
      <w:jc w:val="center"/>
      <w:spacing w:line="400" w:lineRule="exact"/>
    </w:pPr>
    <w:rPr>
      <w:rFonts w:ascii="Times New Roman" w:hAnsi="Times New Roman" w:eastAsia="宋体" w:cs="Times New Roman"/>
      <w:szCs w:val="20"/>
    </w:rPr>
  </w:style>
  <w:style w:type="character" w:styleId="1381">
    <w:name w:val="custom-tag-placeholder-class"/>
    <w:next w:val="1381"/>
    <w:link w:val="922"/>
  </w:style>
  <w:style w:type="character" w:styleId="1382">
    <w:name w:val="正文缩进 字符"/>
    <w:next w:val="1382"/>
    <w:link w:val="922"/>
    <w:qFormat/>
    <w:rPr>
      <w:rFonts w:eastAsia="楷体_GB2312"/>
      <w:sz w:val="24"/>
      <w:lang w:val="en-US" w:eastAsia="zh-CN" w:bidi="ar-SA"/>
    </w:rPr>
  </w:style>
  <w:style w:type="character" w:styleId="1383">
    <w:name w:val="正文文本缩进 3 字符"/>
    <w:next w:val="1383"/>
    <w:link w:val="922"/>
    <w:rPr>
      <w:sz w:val="16"/>
      <w:szCs w:val="16"/>
    </w:rPr>
  </w:style>
  <w:style w:type="paragraph" w:styleId="1384">
    <w:name w:val="Plain Text11"/>
    <w:basedOn w:val="922"/>
    <w:next w:val="1384"/>
    <w:link w:val="922"/>
    <w:qFormat/>
    <w:rPr>
      <w:rFonts w:ascii="宋体" w:hAnsi="Courier New" w:eastAsia="楷体_GB2312"/>
      <w:sz w:val="28"/>
      <w:szCs w:val="20"/>
    </w:rPr>
  </w:style>
  <w:style w:type="character" w:styleId="1385">
    <w:name w:val="font21"/>
    <w:basedOn w:val="932"/>
    <w:next w:val="1385"/>
    <w:link w:val="922"/>
    <w:rPr>
      <w:rFonts w:hint="eastAsia" w:ascii="宋体" w:hAnsi="宋体" w:eastAsia="宋体" w:cs="宋体"/>
      <w:color w:val="000000"/>
      <w:sz w:val="21"/>
      <w:szCs w:val="21"/>
      <w:u w:val="none"/>
    </w:rPr>
  </w:style>
  <w:style w:type="character" w:styleId="1386">
    <w:name w:val="font31"/>
    <w:basedOn w:val="932"/>
    <w:next w:val="1386"/>
    <w:link w:val="922"/>
    <w:qFormat/>
    <w:rPr>
      <w:rFonts w:hint="eastAsia" w:ascii="宋体" w:hAnsi="宋体" w:eastAsia="宋体" w:cs="宋体"/>
      <w:color w:val="000000"/>
      <w:sz w:val="21"/>
      <w:szCs w:val="21"/>
      <w:u w:val="none"/>
    </w:rPr>
  </w:style>
  <w:style w:type="character" w:styleId="1387" w:default="1">
    <w:name w:val="Default Paragraph Font"/>
    <w:uiPriority w:val="1"/>
    <w:semiHidden/>
    <w:unhideWhenUsed/>
  </w:style>
  <w:style w:type="numbering" w:styleId="1388" w:default="1">
    <w:name w:val="No List"/>
    <w:uiPriority w:val="99"/>
    <w:semiHidden/>
    <w:unhideWhenUsed/>
  </w:style>
  <w:style w:type="table" w:styleId="13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wmf"/><Relationship Id="rId17" Type="http://schemas.openxmlformats.org/officeDocument/2006/relationships/image" Target="media/image3.wmf"/><Relationship Id="rId18" Type="http://schemas.openxmlformats.org/officeDocument/2006/relationships/image" Target="media/image4.wmf"/><Relationship Id="rId19"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王燕</cp:lastModifiedBy>
  <cp:revision>4</cp:revision>
  <dcterms:created xsi:type="dcterms:W3CDTF">2024-02-19T03:00:00Z</dcterms:created>
  <dcterms:modified xsi:type="dcterms:W3CDTF">2025-12-04T07:07:41Z</dcterms:modified>
</cp:coreProperties>
</file>